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CellMar>
          <w:left w:w="0" w:type="dxa"/>
          <w:right w:w="0" w:type="dxa"/>
        </w:tblCellMar>
        <w:tblLook w:val="04A0" w:firstRow="1" w:lastRow="0" w:firstColumn="1" w:lastColumn="0" w:noHBand="0" w:noVBand="1"/>
      </w:tblPr>
      <w:tblGrid>
        <w:gridCol w:w="10772"/>
      </w:tblGrid>
      <w:tr w:rsidR="00536A77">
        <w:tc>
          <w:tcPr>
            <w:tcW w:w="10772" w:type="dxa"/>
            <w:tcBorders>
              <w:top w:val="nil"/>
              <w:left w:val="nil"/>
              <w:bottom w:val="nil"/>
              <w:right w:val="nil"/>
            </w:tcBorders>
            <w:tcMar>
              <w:top w:w="0" w:type="dxa"/>
              <w:left w:w="108" w:type="dxa"/>
              <w:bottom w:w="0" w:type="dxa"/>
              <w:right w:w="108" w:type="dxa"/>
            </w:tcMar>
            <w:hideMark/>
          </w:tcPr>
          <w:p w:rsidR="00536A77" w:rsidRDefault="00536A77">
            <w:bookmarkStart w:id="0" w:name="_GoBack"/>
            <w:bookmarkEnd w:id="0"/>
          </w:p>
        </w:tc>
      </w:tr>
    </w:tbl>
    <w:p w:rsidR="00536A77" w:rsidRDefault="00DE39C7">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958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6091"/>
        <w:gridCol w:w="228"/>
        <w:gridCol w:w="1538"/>
        <w:gridCol w:w="1723"/>
      </w:tblGrid>
      <w:tr w:rsidR="00536A77">
        <w:trPr>
          <w:trHeight w:val="270"/>
        </w:trPr>
        <w:tc>
          <w:tcPr>
            <w:tcW w:w="5940" w:type="dxa"/>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ПОЯСНИТЕЛЬНАЯ ЗАПИСКА</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b/>
                <w:sz w:val="20"/>
                <w:szCs w:val="20"/>
              </w:rPr>
              <w:t>К БАЛАНСУ УЧРЕЖДЕНИЯ</w:t>
            </w: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536A77">
            <w:pPr>
              <w:rPr>
                <w:sz w:val="24"/>
              </w:rPr>
            </w:pPr>
          </w:p>
        </w:tc>
        <w:tc>
          <w:tcPr>
            <w:tcW w:w="1680" w:type="dxa"/>
            <w:noWrap/>
            <w:tcMar>
              <w:top w:w="0" w:type="dxa"/>
              <w:left w:w="108" w:type="dxa"/>
              <w:bottom w:w="0" w:type="dxa"/>
              <w:right w:w="108" w:type="dxa"/>
            </w:tcMar>
            <w:vAlign w:val="bottom"/>
            <w:hideMark/>
          </w:tcPr>
          <w:p w:rsidR="00536A77" w:rsidRDefault="00536A77">
            <w:pPr>
              <w:rPr>
                <w:sz w:val="24"/>
              </w:rPr>
            </w:pPr>
          </w:p>
        </w:tc>
      </w:tr>
      <w:tr w:rsidR="00536A77">
        <w:trPr>
          <w:trHeight w:val="255"/>
        </w:trPr>
        <w:tc>
          <w:tcPr>
            <w:tcW w:w="5940" w:type="dxa"/>
            <w:noWrap/>
            <w:tcMar>
              <w:top w:w="0" w:type="dxa"/>
              <w:left w:w="108" w:type="dxa"/>
              <w:bottom w:w="0" w:type="dxa"/>
              <w:right w:w="108" w:type="dxa"/>
            </w:tcMar>
            <w:vAlign w:val="bottom"/>
            <w:hideMark/>
          </w:tcPr>
          <w:p w:rsidR="00536A77" w:rsidRDefault="00536A77">
            <w:pPr>
              <w:rPr>
                <w:sz w:val="24"/>
              </w:rPr>
            </w:pP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536A77">
            <w:pPr>
              <w:rPr>
                <w:sz w:val="24"/>
              </w:rPr>
            </w:pP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КОДЫ</w:t>
            </w:r>
          </w:p>
        </w:tc>
      </w:tr>
      <w:tr w:rsidR="00536A77">
        <w:trPr>
          <w:trHeight w:val="210"/>
        </w:trPr>
        <w:tc>
          <w:tcPr>
            <w:tcW w:w="0" w:type="auto"/>
            <w:noWrap/>
            <w:tcMar>
              <w:top w:w="0" w:type="dxa"/>
              <w:left w:w="108" w:type="dxa"/>
              <w:bottom w:w="0" w:type="dxa"/>
              <w:right w:w="108" w:type="dxa"/>
            </w:tcMar>
            <w:vAlign w:val="bottom"/>
            <w:hideMark/>
          </w:tcPr>
          <w:p w:rsidR="00536A77" w:rsidRDefault="00536A77">
            <w:pPr>
              <w:rPr>
                <w:sz w:val="20"/>
              </w:rPr>
            </w:pPr>
          </w:p>
        </w:tc>
        <w:tc>
          <w:tcPr>
            <w:tcW w:w="0" w:type="auto"/>
            <w:gridSpan w:val="2"/>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Форма по ОКУД</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8"/>
                <w:szCs w:val="18"/>
              </w:rPr>
              <w:t>0503760</w:t>
            </w:r>
          </w:p>
        </w:tc>
      </w:tr>
      <w:tr w:rsidR="00536A77">
        <w:trPr>
          <w:trHeight w:val="320"/>
        </w:trPr>
        <w:tc>
          <w:tcPr>
            <w:tcW w:w="0" w:type="auto"/>
            <w:gridSpan w:val="2"/>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                          на   1 января 2024 г.</w:t>
            </w:r>
          </w:p>
        </w:tc>
        <w:tc>
          <w:tcPr>
            <w:tcW w:w="1500" w:type="dxa"/>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 Дата</w:t>
            </w: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01.01.2024</w:t>
            </w:r>
          </w:p>
        </w:tc>
      </w:tr>
      <w:tr w:rsidR="00536A77">
        <w:trPr>
          <w:trHeight w:val="282"/>
        </w:trPr>
        <w:tc>
          <w:tcPr>
            <w:tcW w:w="594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18"/>
                <w:szCs w:val="18"/>
              </w:rPr>
              <w:t xml:space="preserve">Учреждение   </w:t>
            </w:r>
            <w:r>
              <w:rPr>
                <w:rFonts w:ascii="Times New Roman" w:eastAsia="Times New Roman" w:hAnsi="Times New Roman" w:cs="Times New Roman"/>
                <w:sz w:val="18"/>
                <w:szCs w:val="18"/>
                <w:u w:val="single"/>
              </w:rPr>
              <w:t>КРАЕВОЕ ГОСУДАРСТВЕННОЕ АВТОНОМНОЕ ПРОФЕССИОНАЛЬНОЕ ОБРАЗОВАТЕЛЬНОЕ УЧРЕЖДЕНИЕ "ГУБЕРНАТОРСКИЙ АВИАСТРОИТЕЛЬНЫЙ КОЛЛЕДЖ Г. КОМСОМОЛЬСКА-НА-АМУРЕ (МЕЖРЕГИОНАЛЬНЫЙ ЦЕНТР КОМПЕТЕНЦИЙ)"</w:t>
            </w: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ОКПО  </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02505922</w:t>
            </w:r>
          </w:p>
        </w:tc>
      </w:tr>
      <w:tr w:rsidR="00536A77">
        <w:trPr>
          <w:trHeight w:val="195"/>
        </w:trPr>
        <w:tc>
          <w:tcPr>
            <w:tcW w:w="5940" w:type="dxa"/>
            <w:noWrap/>
            <w:tcMar>
              <w:top w:w="0" w:type="dxa"/>
              <w:left w:w="108" w:type="dxa"/>
              <w:bottom w:w="0" w:type="dxa"/>
              <w:right w:w="108" w:type="dxa"/>
            </w:tcMar>
            <w:vAlign w:val="bottom"/>
            <w:hideMark/>
          </w:tcPr>
          <w:p w:rsidR="00536A77" w:rsidRDefault="00DE39C7">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Обособленное подразделение  </w:t>
            </w:r>
            <w:r>
              <w:rPr>
                <w:rFonts w:ascii="Times New Roman" w:eastAsia="Times New Roman" w:hAnsi="Times New Roman" w:cs="Times New Roman"/>
                <w:color w:val="000000"/>
                <w:sz w:val="18"/>
                <w:szCs w:val="18"/>
              </w:rPr>
              <w:t>_______________________________</w:t>
            </w:r>
          </w:p>
        </w:tc>
        <w:tc>
          <w:tcPr>
            <w:tcW w:w="195" w:type="dxa"/>
            <w:noWrap/>
            <w:tcMar>
              <w:top w:w="0" w:type="dxa"/>
              <w:left w:w="108" w:type="dxa"/>
              <w:bottom w:w="0" w:type="dxa"/>
              <w:right w:w="108" w:type="dxa"/>
            </w:tcMar>
            <w:vAlign w:val="bottom"/>
            <w:hideMark/>
          </w:tcPr>
          <w:p w:rsidR="00536A77" w:rsidRDefault="00536A77">
            <w:pPr>
              <w:rPr>
                <w:sz w:val="20"/>
              </w:rPr>
            </w:pPr>
          </w:p>
        </w:tc>
        <w:tc>
          <w:tcPr>
            <w:tcW w:w="1500" w:type="dxa"/>
            <w:noWrap/>
            <w:tcMar>
              <w:top w:w="0" w:type="dxa"/>
              <w:left w:w="108" w:type="dxa"/>
              <w:bottom w:w="0" w:type="dxa"/>
              <w:right w:w="108" w:type="dxa"/>
            </w:tcMar>
            <w:vAlign w:val="bottom"/>
            <w:hideMark/>
          </w:tcPr>
          <w:p w:rsidR="00536A77" w:rsidRDefault="00536A77">
            <w:pPr>
              <w:rPr>
                <w:sz w:val="20"/>
              </w:rPr>
            </w:pP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536A77">
            <w:pPr>
              <w:rPr>
                <w:sz w:val="20"/>
              </w:rPr>
            </w:pPr>
          </w:p>
        </w:tc>
      </w:tr>
      <w:tr w:rsidR="00536A77">
        <w:trPr>
          <w:trHeight w:val="420"/>
        </w:trPr>
        <w:tc>
          <w:tcPr>
            <w:tcW w:w="594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18"/>
                <w:szCs w:val="18"/>
              </w:rPr>
              <w:t>Учредитель</w:t>
            </w:r>
            <w:r>
              <w:rPr>
                <w:rFonts w:ascii="Times New Roman" w:eastAsia="Times New Roman" w:hAnsi="Times New Roman" w:cs="Times New Roman"/>
                <w:color w:val="000000"/>
                <w:sz w:val="18"/>
                <w:szCs w:val="18"/>
              </w:rPr>
              <w:t xml:space="preserve">  </w:t>
            </w: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ОКТМО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08709000</w:t>
            </w:r>
          </w:p>
        </w:tc>
      </w:tr>
      <w:tr w:rsidR="00536A77">
        <w:trPr>
          <w:trHeight w:val="195"/>
        </w:trPr>
        <w:tc>
          <w:tcPr>
            <w:tcW w:w="5940" w:type="dxa"/>
            <w:noWrap/>
            <w:tcMar>
              <w:top w:w="0" w:type="dxa"/>
              <w:left w:w="108" w:type="dxa"/>
              <w:bottom w:w="0" w:type="dxa"/>
              <w:right w:w="108" w:type="dxa"/>
            </w:tcMar>
            <w:vAlign w:val="bottom"/>
            <w:hideMark/>
          </w:tcPr>
          <w:p w:rsidR="00536A77" w:rsidRDefault="00DE39C7">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 xml:space="preserve">Наименование органа, </w:t>
            </w:r>
          </w:p>
        </w:tc>
        <w:tc>
          <w:tcPr>
            <w:tcW w:w="195" w:type="dxa"/>
            <w:noWrap/>
            <w:tcMar>
              <w:top w:w="0" w:type="dxa"/>
              <w:left w:w="108" w:type="dxa"/>
              <w:bottom w:w="0" w:type="dxa"/>
              <w:right w:w="108" w:type="dxa"/>
            </w:tcMar>
            <w:vAlign w:val="bottom"/>
            <w:hideMark/>
          </w:tcPr>
          <w:p w:rsidR="00536A77" w:rsidRDefault="00536A77">
            <w:pPr>
              <w:rPr>
                <w:sz w:val="20"/>
              </w:rPr>
            </w:pPr>
          </w:p>
        </w:tc>
        <w:tc>
          <w:tcPr>
            <w:tcW w:w="150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536A77">
            <w:pPr>
              <w:rPr>
                <w:sz w:val="20"/>
              </w:rPr>
            </w:pPr>
          </w:p>
        </w:tc>
      </w:tr>
      <w:tr w:rsidR="00536A77">
        <w:trPr>
          <w:trHeight w:val="210"/>
        </w:trPr>
        <w:tc>
          <w:tcPr>
            <w:tcW w:w="5940" w:type="dxa"/>
            <w:noWrap/>
            <w:tcMar>
              <w:top w:w="0" w:type="dxa"/>
              <w:left w:w="108" w:type="dxa"/>
              <w:bottom w:w="0" w:type="dxa"/>
              <w:right w:w="108" w:type="dxa"/>
            </w:tcMar>
            <w:vAlign w:val="bottom"/>
            <w:hideMark/>
          </w:tcPr>
          <w:p w:rsidR="00536A77" w:rsidRDefault="00DE39C7">
            <w:pPr>
              <w:spacing w:line="195" w:lineRule="atLeast"/>
              <w:rPr>
                <w:rFonts w:ascii="Times New Roman" w:eastAsia="Times New Roman" w:hAnsi="Times New Roman" w:cs="Times New Roman"/>
                <w:sz w:val="24"/>
              </w:rPr>
            </w:pPr>
            <w:r>
              <w:rPr>
                <w:rFonts w:ascii="Times New Roman" w:eastAsia="Times New Roman" w:hAnsi="Times New Roman" w:cs="Times New Roman"/>
                <w:sz w:val="18"/>
                <w:szCs w:val="18"/>
              </w:rPr>
              <w:t>осуществляющего</w:t>
            </w:r>
          </w:p>
        </w:tc>
        <w:tc>
          <w:tcPr>
            <w:tcW w:w="195" w:type="dxa"/>
            <w:noWrap/>
            <w:tcMar>
              <w:top w:w="0" w:type="dxa"/>
              <w:left w:w="108" w:type="dxa"/>
              <w:bottom w:w="0" w:type="dxa"/>
              <w:right w:w="108" w:type="dxa"/>
            </w:tcMar>
            <w:vAlign w:val="bottom"/>
            <w:hideMark/>
          </w:tcPr>
          <w:p w:rsidR="00536A77" w:rsidRDefault="00536A77">
            <w:pPr>
              <w:rPr>
                <w:sz w:val="20"/>
              </w:rPr>
            </w:pPr>
          </w:p>
        </w:tc>
        <w:tc>
          <w:tcPr>
            <w:tcW w:w="1500" w:type="dxa"/>
            <w:noWrap/>
            <w:tcMar>
              <w:top w:w="0" w:type="dxa"/>
              <w:left w:w="108" w:type="dxa"/>
              <w:bottom w:w="0" w:type="dxa"/>
              <w:right w:w="108" w:type="dxa"/>
            </w:tcMar>
            <w:vAlign w:val="bottom"/>
            <w:hideMark/>
          </w:tcPr>
          <w:p w:rsidR="00536A77" w:rsidRDefault="00DE39C7">
            <w:pPr>
              <w:spacing w:line="195" w:lineRule="atLeast"/>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по ОКПО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spacing w:line="210" w:lineRule="atLeast"/>
              <w:jc w:val="center"/>
              <w:rPr>
                <w:rFonts w:ascii="Times New Roman" w:eastAsia="Times New Roman" w:hAnsi="Times New Roman" w:cs="Times New Roman"/>
                <w:sz w:val="24"/>
              </w:rPr>
            </w:pPr>
            <w:r>
              <w:rPr>
                <w:rFonts w:ascii="Times New Roman" w:eastAsia="Times New Roman" w:hAnsi="Times New Roman" w:cs="Times New Roman"/>
                <w:sz w:val="18"/>
                <w:szCs w:val="18"/>
              </w:rPr>
              <w:t>02505922</w:t>
            </w:r>
          </w:p>
        </w:tc>
      </w:tr>
      <w:tr w:rsidR="00536A77">
        <w:trPr>
          <w:trHeight w:val="320"/>
        </w:trPr>
        <w:tc>
          <w:tcPr>
            <w:tcW w:w="0" w:type="auto"/>
            <w:gridSpan w:val="2"/>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18"/>
                <w:szCs w:val="18"/>
              </w:rPr>
              <w:t>полномочия учредителя   </w:t>
            </w:r>
          </w:p>
        </w:tc>
        <w:tc>
          <w:tcPr>
            <w:tcW w:w="1500" w:type="dxa"/>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Глава по БК </w:t>
            </w:r>
          </w:p>
        </w:tc>
        <w:tc>
          <w:tcPr>
            <w:tcW w:w="1680" w:type="dxa"/>
            <w:tcBorders>
              <w:top w:val="single" w:sz="8" w:space="0" w:color="000000"/>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016</w:t>
            </w:r>
          </w:p>
        </w:tc>
      </w:tr>
      <w:tr w:rsidR="00536A77">
        <w:trPr>
          <w:trHeight w:val="282"/>
        </w:trPr>
        <w:tc>
          <w:tcPr>
            <w:tcW w:w="0" w:type="auto"/>
            <w:gridSpan w:val="2"/>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18"/>
                <w:szCs w:val="18"/>
              </w:rPr>
              <w:t>Периодичность:    квартальная, годовая</w:t>
            </w:r>
          </w:p>
        </w:tc>
        <w:tc>
          <w:tcPr>
            <w:tcW w:w="150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536A77">
        <w:trPr>
          <w:trHeight w:val="320"/>
        </w:trPr>
        <w:tc>
          <w:tcPr>
            <w:tcW w:w="594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DE39C7">
            <w:pPr>
              <w:jc w:val="right"/>
              <w:rPr>
                <w:rFonts w:ascii="Times New Roman" w:eastAsia="Times New Roman" w:hAnsi="Times New Roman" w:cs="Times New Roman"/>
                <w:sz w:val="24"/>
              </w:rPr>
            </w:pPr>
            <w:r>
              <w:rPr>
                <w:rFonts w:ascii="Times New Roman" w:eastAsia="Times New Roman" w:hAnsi="Times New Roman" w:cs="Times New Roman"/>
                <w:sz w:val="18"/>
                <w:szCs w:val="18"/>
              </w:rPr>
              <w:t xml:space="preserve">к Балансу по форме </w:t>
            </w:r>
          </w:p>
        </w:tc>
        <w:tc>
          <w:tcPr>
            <w:tcW w:w="1680" w:type="dxa"/>
            <w:tcBorders>
              <w:top w:val="nil"/>
              <w:left w:val="single" w:sz="8" w:space="0" w:color="000000"/>
              <w:bottom w:val="nil"/>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0503730</w:t>
            </w:r>
          </w:p>
        </w:tc>
      </w:tr>
      <w:tr w:rsidR="00536A77">
        <w:trPr>
          <w:trHeight w:val="282"/>
        </w:trPr>
        <w:tc>
          <w:tcPr>
            <w:tcW w:w="0" w:type="auto"/>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18"/>
                <w:szCs w:val="18"/>
              </w:rPr>
              <w:t>Единица измерения: руб.</w:t>
            </w:r>
          </w:p>
        </w:tc>
        <w:tc>
          <w:tcPr>
            <w:tcW w:w="195" w:type="dxa"/>
            <w:noWrap/>
            <w:tcMar>
              <w:top w:w="0" w:type="dxa"/>
              <w:left w:w="108" w:type="dxa"/>
              <w:bottom w:w="0" w:type="dxa"/>
              <w:right w:w="108" w:type="dxa"/>
            </w:tcMar>
            <w:vAlign w:val="bottom"/>
            <w:hideMark/>
          </w:tcPr>
          <w:p w:rsidR="00536A77" w:rsidRDefault="00536A77">
            <w:pPr>
              <w:rPr>
                <w:sz w:val="24"/>
              </w:rPr>
            </w:pPr>
          </w:p>
        </w:tc>
        <w:tc>
          <w:tcPr>
            <w:tcW w:w="1500" w:type="dxa"/>
            <w:noWrap/>
            <w:tcMar>
              <w:top w:w="0" w:type="dxa"/>
              <w:left w:w="108" w:type="dxa"/>
              <w:bottom w:w="0" w:type="dxa"/>
              <w:right w:w="108" w:type="dxa"/>
            </w:tcMar>
            <w:vAlign w:val="bottom"/>
            <w:hideMark/>
          </w:tcPr>
          <w:p w:rsidR="00536A77" w:rsidRDefault="00DE39C7">
            <w:pPr>
              <w:spacing w:before="240" w:beforeAutospacing="1" w:after="240" w:afterAutospacing="1"/>
              <w:jc w:val="right"/>
              <w:rPr>
                <w:rFonts w:ascii="Times New Roman" w:eastAsia="Times New Roman" w:hAnsi="Times New Roman" w:cs="Times New Roman"/>
                <w:sz w:val="24"/>
              </w:rPr>
            </w:pPr>
            <w:r>
              <w:rPr>
                <w:rFonts w:ascii="Times New Roman" w:eastAsia="Times New Roman" w:hAnsi="Times New Roman" w:cs="Times New Roman"/>
                <w:sz w:val="18"/>
                <w:szCs w:val="18"/>
              </w:rPr>
              <w:t>    по ОКЕИ</w:t>
            </w:r>
          </w:p>
        </w:tc>
        <w:tc>
          <w:tcPr>
            <w:tcW w:w="16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383</w:t>
            </w:r>
          </w:p>
        </w:tc>
      </w:tr>
      <w:tr w:rsidR="00536A77">
        <w:trPr>
          <w:trHeight w:val="282"/>
        </w:trPr>
        <w:tc>
          <w:tcPr>
            <w:tcW w:w="0" w:type="auto"/>
            <w:gridSpan w:val="4"/>
            <w:noWrap/>
            <w:tcMar>
              <w:top w:w="0" w:type="dxa"/>
              <w:left w:w="108" w:type="dxa"/>
              <w:bottom w:w="0" w:type="dxa"/>
              <w:right w:w="108" w:type="dxa"/>
            </w:tcMar>
            <w:vAlign w:val="bottom"/>
            <w:hideMark/>
          </w:tcPr>
          <w:p w:rsidR="00536A77" w:rsidRDefault="00536A77">
            <w:pPr>
              <w:rPr>
                <w:sz w:val="24"/>
              </w:rPr>
            </w:pPr>
          </w:p>
        </w:tc>
      </w:tr>
    </w:tbl>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РАЗДЕЛ 1 «ОРГАНИЗАЦИОННАЯ СТРУКТУРА УЧРЕЖДЕНИЯ»</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Краевое государственное автономное профессиональное образовательное учреждение «Губернаторский авиастроительный колледж г. Комсомольска-на-Амуре (Межрегиональный центр компетенций)» (далее – Колледж) является профессиональной образовательной организацией,  действующих на принципах государственного-частичного партнерства с целью обеспечения лидерства Хабаровского края в подготовке кадров по наиболее востребованным на рынке труда, новым и перспективным профессиям и специальностям среднего профессионального образования в соответствии с мировыми стандартами и передовыми технологиями.</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Колледж является некоммерческой организацией, создан на неопределенный срок.</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Официальное наименование Колледжа: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полное наименование: краевое государственное автономное профессиональное образовательное учреждение «Губернаторский авиастроительный колледж г. Комсомольска-на-Амуре (Межрегиональный центр компетенций)»;</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сокращенное наименование: КГА ПОУ ГАСКК МЦК.</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Место нахождения Колледжа: 681007, Россия, Хабаровский край, г. Комсомольск-на-Амуре, ул. Культурная, д. 3.</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Почтовые адреса Колледжа, адреса мест осуществления образовательной деятельности: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- 681007, Россия, Хабаровский край, г. Комсомольск-на-Амуре, ул. Культурная, д. 2;</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- 681000, Россия, Хабаровский край, г. Комсомольск-на-Амуре, пр. Мира, д. 23;</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- 681007, Россия, Хабаровский край, г. Комсомольск-на-Амуре, ул. Культурная, д. 3;</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Организационно-правовая форма: государственное учреждение субъекта РФ.</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Основными видами деятельности Колледжа, осуществляемыми в рамках выполнения государственного задания на оказание государственным образовательных услуг (выполнение работ), формируемого министерством образования и науки Хабаровского края и утверждаемого министерством  образования и науки Хабаровского края (далее – «государственное задание»), являются:</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 образовательная деятельность, в том числе  реализация образовательных программ среднего профессионального образования -</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программ подготовки специалистов среднего звена,</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программ подготовки квалифицированных рабочих, служащих, а также реализация дополнительных общеразвивающих программ;</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б) организация проведения общественно-значимых мероприятий в сфере образования, науки и молодежной политики;</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методическое обеспечение образовательной деятельности.</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Учредителем Колледжа является Хабаровский край. Органом исполнительной власти Хабаровского края, осуществляющим функции и полномочия Учредителя, является министерство образования и науки Хабаровского края (далее – Учредитель).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Собственником имущества Колледжа является Хабаровский край.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Органом исполнительной власти Хабаровского края, осуществляющим полномочия собственника имущества Колледжа, является министерство имущества Хабаровского края.</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соответствии с Уставом Колледж имеет следующие структурные подразделения:</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Учебный центр профессиональных квалификаций – структурная единица Колледжа, на базе которой ведется профессиональное обучение рабочих кадров и дополнительное профессиональное образование специалистов среднего звена с учетом актуальных и перспективных потребностей рынка труда, обусловленных задачами технологической модернизации инновационного развития экономики Хабаровского края;</w:t>
      </w:r>
    </w:p>
    <w:p w:rsidR="00536A77" w:rsidRDefault="00DE39C7">
      <w:pPr>
        <w:spacing w:before="240"/>
        <w:rPr>
          <w:rFonts w:ascii="Times New Roman" w:eastAsia="Times New Roman" w:hAnsi="Times New Roman" w:cs="Times New Roman"/>
          <w:sz w:val="24"/>
        </w:rPr>
      </w:pPr>
      <w:r>
        <w:rPr>
          <w:rFonts w:ascii="Calibri" w:eastAsia="Calibri" w:hAnsi="Calibri" w:cs="Calibri"/>
          <w:color w:val="000000"/>
        </w:rPr>
        <w:lastRenderedPageBreak/>
        <w:t xml:space="preserve">          </w:t>
      </w:r>
      <w:r>
        <w:rPr>
          <w:rFonts w:ascii="Times New Roman" w:eastAsia="Times New Roman" w:hAnsi="Times New Roman" w:cs="Times New Roman"/>
          <w:color w:val="000000"/>
          <w:sz w:val="28"/>
          <w:szCs w:val="28"/>
        </w:rPr>
        <w:t>- Тренировочный полигон – структурная единица Колледжа, обеспечивающая создание условий для подготовки сборной команды Дальневосточного федерального округа и команд других субъектов Российской Федерации Дальневосточного федерального округа к участию в национальных и международных конкурсах профессионального мастерства;</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Учебный центр-структурная единица Колледжа, на базе которой  ведется разработка и апробация  экспериментальных образовательных программ по наиболее востребованным на рынке труда, новым  и перспективным профессиям и специальностям среднего профессионального образования, а также распространение успешного опыта.</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Структурные подразделения Колледжа не являются юридическим лицом и действуют на основании Устава Колледжа и положения о соответствующем структурном подразделении. Обособленные подразделения у Колледжа отсутствуют.</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Колледж осуществляет деятельность по выполнению государственного задания, а также ведет приносящую доход деятельность. Обладает обособленным имуществом, закрепленным за ним на праве оперативного управления, имеет самостоятельный баланс и осуществляет операции с безналичными денежными средствами на следующих лицевых счетах, открытых в Управлении Федерального казначейства по Хабаровскому краю:</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 30226Э76840 лицевой счет бюджетного (автономного) учреждения (открыт 15.06.2016);</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 31226Э76840 отдельный лицевой счет бюджетного (автономного) учреждения (открыт 15.06.2016).</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Согласно штатному расписанию  Колледжа утверждены следующие категории персонала в количестве 379,5 единиц: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руководящие работники – 24 единиц;</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педагогические работники – 215 единиц;</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учебно-вспомогательный персонал -13,5 единиц</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обслуживающий персонал-127 единиц.</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Бухгалтерский учет ведется структурным подразделением-бухгалтерией, возглавляемым главным бухгалтером. Деятельность структурного подразделения регламентируется Положением о бухгалтерии и должностными инструкциями сотрудников бухгалтерии (ч.3 ст. 7 Закон № 402-ФЗ). Бухгалтерия несет ответственность за составление и представление отчетности на бумажных носителях и в электронном виде. Главный бухгалтер, сотрудники бухгалтерии руководствуются в своей деятельности приказом об учетной </w:t>
      </w:r>
      <w:r>
        <w:rPr>
          <w:rFonts w:ascii="Times New Roman" w:eastAsia="Times New Roman" w:hAnsi="Times New Roman" w:cs="Times New Roman"/>
          <w:color w:val="000000"/>
          <w:sz w:val="28"/>
          <w:szCs w:val="28"/>
        </w:rPr>
        <w:lastRenderedPageBreak/>
        <w:t>политике, а также действующими нормативными актами, регулирующими вопросы бухгалтерского и налогового учета.</w:t>
      </w:r>
    </w:p>
    <w:p w:rsidR="00536A77" w:rsidRDefault="00DE39C7">
      <w:pPr>
        <w:spacing w:line="276" w:lineRule="auto"/>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Бухгалтерский учет ведется с использованием бухгалтерской программы   1С:Предприятие  8.3  конфигурации «Бухгалтерия государственного учреждения, редакция 2.0», «Зарплата и кадры государственного учреждения, редакция 3.1».</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Колледжа и имел место быть в период между отчетной датой и датой подписания отчетности за отчетный год.</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Поступление после отчетной даты первичных учетных документов, оформляющих факты хозяйственной жизни, которые возникли в отчетном периоде, не является событием после отчетной даты.</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Датой подписания отчетности считается фактическая дата ее подписания руководителем Колледжа.</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Колледжа. </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Существенность события после отчетной даты определяется исходя из установленных требований к отчетности.</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К событиям после отчетной даты относятся события, подтверждающие существовавшие на отчетную дату хозяйственных условий, в которых учреждение вело свою деятельность; события, свидетельствующие о возникших после отчетной даты хозяйственных условиях, в которых учреждение ведет свою деятельность.</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События, подтверждающие существовавшие на отчетную дату хозяйственные условия, в которых  Колледж  вел свою деятельность, отражаются в учете заключительными оборотами отчетного периода (посредством счета 040130000 «Финансовый результат прошлых отчетных периодов») до даты подписания годовых форм бухгалтерской отчетности на 31 декабря года отчетного периода. Операция оформляется бухгалтерской справкой (ф. 0504833).</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После составления отчетных форм в учете производится </w:t>
      </w:r>
      <w:proofErr w:type="spellStart"/>
      <w:r>
        <w:rPr>
          <w:rFonts w:ascii="Times New Roman" w:eastAsia="Times New Roman" w:hAnsi="Times New Roman" w:cs="Times New Roman"/>
          <w:color w:val="000000"/>
          <w:sz w:val="28"/>
          <w:szCs w:val="28"/>
        </w:rPr>
        <w:t>сторнировочная</w:t>
      </w:r>
      <w:proofErr w:type="spellEnd"/>
      <w:r>
        <w:rPr>
          <w:rFonts w:ascii="Times New Roman" w:eastAsia="Times New Roman" w:hAnsi="Times New Roman" w:cs="Times New Roman"/>
          <w:color w:val="000000"/>
          <w:sz w:val="28"/>
          <w:szCs w:val="28"/>
        </w:rPr>
        <w:t xml:space="preserve"> (или обратная) запись для отражения события после отчетной даты (операция оформляется бухгалтерской справкой (ф. 0504833).</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В отчетном периоде события после отчетной даты отражаются в регистрах синтетического и аналитического учета заключительными оборотами до даты подписания годовой отчетности в установленном </w:t>
      </w:r>
      <w:r>
        <w:rPr>
          <w:rFonts w:ascii="Times New Roman" w:eastAsia="Times New Roman" w:hAnsi="Times New Roman" w:cs="Times New Roman"/>
          <w:color w:val="000000"/>
          <w:sz w:val="28"/>
          <w:szCs w:val="28"/>
        </w:rPr>
        <w:lastRenderedPageBreak/>
        <w:t>порядке. Данные учета отражаются в соответствующих формах отчетности учреждения с учетом событий после отчетной даты.</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Управление Колледжа осуществляется в соответствии с законодательством Российской Федерации и уставом на основе сочетания принципов единоначалия и коллегиальности.</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На основании Устава Колледжа создан Наблюдательный совет, который является его коллегиальным органом управления. Численность членов наблюдательного совета Колледжа устанавливается министерством образования и науки Хабаровского края.</w:t>
      </w:r>
    </w:p>
    <w:p w:rsidR="00536A77" w:rsidRDefault="00DE39C7">
      <w:pPr>
        <w:ind w:firstLine="72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Распоряжением министерства образования и науки Хабаровского края от 14.09.2021г № 1229 утвержден состав наблюдательного совета Колледжа в составе 10 (человек) членов сроком на 5 лет следующие лица:</w:t>
      </w:r>
    </w:p>
    <w:tbl>
      <w:tblPr>
        <w:tblW w:w="10260" w:type="dxa"/>
        <w:tblInd w:w="108" w:type="dxa"/>
        <w:tblBorders>
          <w:top w:val="nil"/>
          <w:left w:val="nil"/>
          <w:bottom w:val="nil"/>
          <w:right w:val="nil"/>
        </w:tblBorders>
        <w:tblCellMar>
          <w:left w:w="0" w:type="dxa"/>
          <w:right w:w="0" w:type="dxa"/>
        </w:tblCellMar>
        <w:tblLook w:val="04A0" w:firstRow="1" w:lastRow="0" w:firstColumn="1" w:lastColumn="0" w:noHBand="0" w:noVBand="1"/>
      </w:tblPr>
      <w:tblGrid>
        <w:gridCol w:w="2917"/>
        <w:gridCol w:w="7343"/>
      </w:tblGrid>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Большакова Ольга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Викторовна</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заместитель генерального директора – директор учебно-производственного центра;</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Емельянов Евгений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Николаевич</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преподаватель краевого государственного автономного профессионального образовательного учреждения «Губернаторский авиастроительный колледж г. Комсомольска-на-Амуре (Межрегиональный центр компетенций)»;</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8"/>
                <w:szCs w:val="28"/>
              </w:rPr>
              <w:t>Кадылева</w:t>
            </w:r>
            <w:proofErr w:type="spellEnd"/>
            <w:r>
              <w:rPr>
                <w:rFonts w:ascii="Times New Roman" w:eastAsia="Times New Roman" w:hAnsi="Times New Roman" w:cs="Times New Roman"/>
                <w:color w:val="000000"/>
                <w:sz w:val="28"/>
                <w:szCs w:val="28"/>
              </w:rPr>
              <w:t xml:space="preserve"> Жанна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Михайловна</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директор Центра инициатив направления « Молодые профессионалы» автономной некоммерческой организации «Агентство стратегических инициатив по продвижению новых проектов»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8"/>
                <w:szCs w:val="28"/>
              </w:rPr>
              <w:t>Коршиков</w:t>
            </w:r>
            <w:proofErr w:type="spellEnd"/>
            <w:r>
              <w:rPr>
                <w:rFonts w:ascii="Times New Roman" w:eastAsia="Times New Roman" w:hAnsi="Times New Roman" w:cs="Times New Roman"/>
                <w:color w:val="000000"/>
                <w:sz w:val="28"/>
                <w:szCs w:val="28"/>
              </w:rPr>
              <w:t xml:space="preserve"> Евгений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Владимирович</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заместитель директора по работе с персоналом филиала Публичного акционерного общества «АВИАЦИОННАЯ ХОЛДИНГОВАЯ КОМПАНИЯ «СУХОЙ» «Комсомольский – на- Амуре авиационный завод им. Ю.А. Гагарина»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Максимов Сергей </w:t>
            </w:r>
          </w:p>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Александрович</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заместитель генерального директора по управлению персоналом Публичного акционерного общества «Амурский судостроительный завод»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Неумывакин Виктор Сергеевич</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директор Департамента государственной политики в сфере среднего профессионального образования и </w:t>
            </w:r>
            <w:r>
              <w:rPr>
                <w:rFonts w:ascii="Times New Roman" w:eastAsia="Times New Roman" w:hAnsi="Times New Roman" w:cs="Times New Roman"/>
                <w:color w:val="000000"/>
                <w:sz w:val="28"/>
                <w:szCs w:val="28"/>
              </w:rPr>
              <w:lastRenderedPageBreak/>
              <w:t>профессионального обучения Министерства просвещения Российской Федерации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Погорелова Виктория Сергеевна</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начальник отдела по работе с краевыми учреждениями управления учета государственного имущества министерства имущественных отношений края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8"/>
                <w:szCs w:val="28"/>
              </w:rPr>
              <w:t>Семянникова</w:t>
            </w:r>
            <w:proofErr w:type="spellEnd"/>
            <w:r>
              <w:rPr>
                <w:rFonts w:ascii="Times New Roman" w:eastAsia="Times New Roman" w:hAnsi="Times New Roman" w:cs="Times New Roman"/>
                <w:color w:val="000000"/>
                <w:sz w:val="28"/>
                <w:szCs w:val="28"/>
              </w:rPr>
              <w:t xml:space="preserve"> Виктория Владимировна</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заместитель министра-начальник управления планирования финансирования и контроля министерства образования и науки края;</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proofErr w:type="spellStart"/>
            <w:r>
              <w:rPr>
                <w:rFonts w:ascii="Times New Roman" w:eastAsia="Times New Roman" w:hAnsi="Times New Roman" w:cs="Times New Roman"/>
                <w:color w:val="000000"/>
                <w:sz w:val="28"/>
                <w:szCs w:val="28"/>
              </w:rPr>
              <w:t>Тымчиков</w:t>
            </w:r>
            <w:proofErr w:type="spellEnd"/>
            <w:r>
              <w:rPr>
                <w:rFonts w:ascii="Times New Roman" w:eastAsia="Times New Roman" w:hAnsi="Times New Roman" w:cs="Times New Roman"/>
                <w:color w:val="000000"/>
                <w:sz w:val="28"/>
                <w:szCs w:val="28"/>
              </w:rPr>
              <w:t xml:space="preserve"> Алексей Юрьевич</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заместитель генерального директора- технический директор автономной некоммерческой организации «Агентство развития профессионального мастерства » (по согласованию).</w:t>
            </w:r>
          </w:p>
        </w:tc>
      </w:tr>
      <w:tr w:rsidR="00536A77">
        <w:tc>
          <w:tcPr>
            <w:tcW w:w="2917" w:type="dxa"/>
            <w:tcBorders>
              <w:top w:val="nil"/>
              <w:left w:val="nil"/>
              <w:bottom w:val="nil"/>
              <w:right w:val="nil"/>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Шадуя</w:t>
            </w:r>
            <w:proofErr w:type="spellEnd"/>
            <w:r>
              <w:rPr>
                <w:rFonts w:ascii="Times New Roman" w:eastAsia="Times New Roman" w:hAnsi="Times New Roman" w:cs="Times New Roman"/>
                <w:color w:val="000000"/>
                <w:sz w:val="28"/>
                <w:szCs w:val="28"/>
              </w:rPr>
              <w:t xml:space="preserve"> Елена Викторовна </w:t>
            </w:r>
          </w:p>
        </w:tc>
        <w:tc>
          <w:tcPr>
            <w:tcW w:w="7343" w:type="dxa"/>
            <w:tcBorders>
              <w:top w:val="nil"/>
              <w:left w:val="nil"/>
              <w:bottom w:val="nil"/>
              <w:right w:val="nil"/>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заместитель министра – начальник управления профессионального образования министерства образования и науки края </w:t>
            </w:r>
          </w:p>
        </w:tc>
      </w:tr>
    </w:tbl>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РАЗДЕЛ 2 «РЕЗУЛЬТАТ ДЕЯТЕЛЬНОСТИ УЧРЕЖДЕНИЯ»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Анализом  выполнения государственного задания в разрезе государственных услуг установлено, что  в отчетном периоде  все государственные услуги и государственные работы выполнены в  полном объеме, а именно:</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реализация образовательных программ среднего профессионального образования - программ подготовки специалистов среднего звена -100% (1 376 человек);</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реализация образовательных программ среднего профессионального образования - программ подготовки квалифицированных рабочих, служащих-100% (574 человек);</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реализация дополнительных общеразвивающих программ – 209 018 человеко-часов (естественнонаучная, физкультурно-спортивная, художественная, социально-педагогическая).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реализация дополнительных профессиональных программ повышения квалификации - 3737 человеко-часов.</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методическое обеспечение образовательной деятельности  - 100% (4 мероприятия).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организация проведения общественно-значимых мероприятий в сфере образования, науки и молодежной политики - 100%  (4мероприятия).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За отчетный период количество человек, прошедших курсы повышения квалификации, составило  75 человек, в том числе педагогических работников  12 человек и прочего персонала 18 человек. Годовая сумма, затраченная на обучение данных сотрудников, составила 125,7 тыс. рублей, в том числе на педагогических работников в сумме  50,2 тыс. рублей, прочего персонала в сумме 75,5 тыс. рублей.  Основная часть  курсов повышения квалификации проводилась в форме онлайн-семинаров и дистанционного обучения.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Среднесписочная численность работников в 2023 году составила 215,7 человека основного персонала и 2,0 человека совместителей.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Общая стоимость имущества (балансовая стоимость) составляет 869 139 947,50  рублей, количество основных средств -  47 338 единиц. Основные фонды используются  для  обеспечения уставной деятельности Колледжа по подготовке квалифицированных кадров на территории Хабаровского края.  Структурные подразделения Колледжа укомплектованы  оборудованием, необходимым для   проведения  на базе Колледжа отборочных этапов,  отборочных чемпионатов профессионального мастерства, развитие образовательно-производственных центров (кластеров) в рамках федерального проекта «</w:t>
      </w:r>
      <w:proofErr w:type="spellStart"/>
      <w:r>
        <w:rPr>
          <w:rFonts w:ascii="Times New Roman" w:eastAsia="Times New Roman" w:hAnsi="Times New Roman" w:cs="Times New Roman"/>
          <w:color w:val="000000"/>
          <w:sz w:val="28"/>
          <w:szCs w:val="28"/>
        </w:rPr>
        <w:t>Профессионалитет</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а также, для подготовки участников, экспертов, проведения аттестаций и демонстрационных экзаменов</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В соответствии с Федеральным законом от </w:t>
      </w:r>
      <w:r>
        <w:rPr>
          <w:rFonts w:ascii="Times New Roman" w:eastAsia="Times New Roman" w:hAnsi="Times New Roman" w:cs="Times New Roman"/>
          <w:color w:val="000000"/>
          <w:sz w:val="28"/>
          <w:szCs w:val="28"/>
          <w:shd w:val="clear" w:color="auto" w:fill="FFFFFF"/>
        </w:rPr>
        <w:t>18 июля 2011 года N 223-ФЗ</w:t>
      </w:r>
      <w:r>
        <w:rPr>
          <w:rFonts w:ascii="Times New Roman" w:eastAsia="Times New Roman" w:hAnsi="Times New Roman" w:cs="Times New Roman"/>
          <w:color w:val="000000"/>
          <w:sz w:val="28"/>
          <w:szCs w:val="28"/>
        </w:rPr>
        <w:t xml:space="preserve"> « О закупках товаров, работ, услуг отдельными видами юридических лиц» за январь-декабрь 2023г. осуществлен объем закупок  конкурентным способом. Количество договоров составило 15 единиц на общую сумму 13 759 338 рублей (поставка продуктов питания, оказание услуг по проведению периодических медицинских осмотров,  услуги по невооружённой охране, услуги по разработке проектно-сметной документации).</w:t>
      </w:r>
    </w:p>
    <w:p w:rsidR="00536A77" w:rsidRDefault="00DE39C7">
      <w:pPr>
        <w:ind w:left="-100" w:firstLine="8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РАЗДЕЛ 3 «АНАЛИЗ ОТЧЕТА ОБ ИСПОЛНЕНИИ УЧРЕЖДЕНИЕМ ПЛАНА ЕГО ДЕЯТЕЛЬНОСТИ»</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А003 Субсидии краевым автономным учреждениям на осуществление расходов, связанных с осуществлением иных расходов, не связанных с выполнением государственного задания (ЦС 016 07040 301103840 622). Расходы по частичной компенсация затрат по проезду на общественном пассажирском транспорте (за исключением каникулярного периода) студентам из малоимущих семей, получающих в очной форме профессиональное образование в краевых государственных профессиональных образовательных </w:t>
      </w:r>
      <w:r>
        <w:rPr>
          <w:rFonts w:ascii="Times New Roman" w:eastAsia="Times New Roman" w:hAnsi="Times New Roman" w:cs="Times New Roman"/>
          <w:color w:val="000000"/>
          <w:sz w:val="28"/>
          <w:szCs w:val="28"/>
        </w:rPr>
        <w:lastRenderedPageBreak/>
        <w:t>организациях в рамках государственной программы Хабаровского края "Развитие образования в Хабаровском крае"  при плане 143 400 ,00 рублей  исполнение -100 %.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А003</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Субсидии краевым автономным учреждениям на осуществление расходов, связанных с осуществлением иных расходов, не связанных с выполнением государственного задания (ЦС 016 0709 9990001060 622), расходы на организацию и проведение мероприятий различного уровня в сфере образования (на осуществление  расходов, связанных с организацией мероприятий  образовательной программы и поездок студентов организаций СПО с   целью посещения Международной выставки-форума "Россия") при плане 117 300,00 рублей исполнение -100%.</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А004 Субсидии краевым автономным учреждениям на осуществление расходов, связанных с выплатами: государственной академической стипендии и (или) государственной социальной стипендии студентам, обучающимся по программам среднего профессионального образования по очной форме обучения; материальной поддержки обучающихся при плане 10 032 030,00 рублей исполнение - 100 %.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А005 Субсидии краевым автономным учреждениям по выплате педагогическим работникам единовременных пособий, установленных частью 1 статьи 1 Закона Хабаровского края от 14 февраля 2005 года N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при плане 106 320,00 рублей исполнение- 100%.</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А007 Субсидии краевым автономным учреждениям на компенсацию расходов на оплату стоимости проезда и провоза багажа к месту использования отпуска и обратно, переезда к новому месту жительства в другую местность при плане 3 460 840,00  рублей исполнение - 100%.</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А010 Субсидии краевым автономным и бюджетным учреждениям на осуществление в соответствии с Законом Хабаровского края от 25 апреля 2007 г. № 119 "О мерах социальной поддержки детей-сирот, детей, оставшихся без попечения родителей, лиц из числа детей-сирот и детей, оставшихся без попечения родителей" расходов, связанных с содержанием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при обучении за счет средств краевого бюджета по образовательным программам среднего профессионального образования и (или) программам профессиональной подготовки по профессиям рабочих, должностям служащих в краевых профессиональных образовательных организациях по очной форме обучения "Субсидии краевым автономным и бюджетным учреждениям на осуществление дополнительных мер социальной поддержки, установленных частью 4 статьи 2 Закона Хабаровского края от </w:t>
      </w:r>
      <w:r>
        <w:rPr>
          <w:rFonts w:ascii="Times New Roman" w:eastAsia="Times New Roman" w:hAnsi="Times New Roman" w:cs="Times New Roman"/>
          <w:color w:val="000000"/>
          <w:sz w:val="28"/>
          <w:szCs w:val="28"/>
        </w:rPr>
        <w:lastRenderedPageBreak/>
        <w:t>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при плане 9 425 500,00  рублей исполнение - 100%.</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А011 Субсидии краевым автономным и бюджетным учреждениям на осуществление дополнительных мер социальной поддержки, установленных частью 4 статьи 2 Закона Хабаровского края от 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при плане 8 763 850,00  рублей исполнение - 100%.</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А012 Субсидии краевым автономным и бюджетным учреждениям на осуществление дополнительных мер социальной поддержки, установленных частью 7 статьи 2 Закона Хабаровского края от 14 февраля 2005 г. № 261 "О дополнительных мерах социальной поддержки педагогических работников и дополнительных мерах социальной поддержки и стимулирования отдельных категорий обучающихся" при плане 689 500,00  рублей исполнение - 100%.</w:t>
      </w:r>
    </w:p>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РАЗДЕЛ 4 «АНАЛИЗ ПОКАЗАТЕЛЕЙ ОТЧЕТНОСТИ УЧРЕЖДЕНИЯ»</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Дебиторская задолженность на 01.01.2024 г. по обязательствам в размере </w:t>
      </w:r>
      <w:r>
        <w:rPr>
          <w:rFonts w:ascii="Times New Roman" w:eastAsia="Times New Roman" w:hAnsi="Times New Roman" w:cs="Times New Roman"/>
          <w:b/>
          <w:i/>
          <w:color w:val="000000"/>
          <w:sz w:val="28"/>
          <w:szCs w:val="28"/>
        </w:rPr>
        <w:t xml:space="preserve">144 702 290,71 </w:t>
      </w:r>
      <w:r>
        <w:rPr>
          <w:rFonts w:ascii="Times New Roman" w:eastAsia="Times New Roman" w:hAnsi="Times New Roman" w:cs="Times New Roman"/>
          <w:i/>
          <w:color w:val="000000"/>
          <w:sz w:val="28"/>
          <w:szCs w:val="28"/>
        </w:rPr>
        <w:t>рублей</w:t>
      </w:r>
      <w:r>
        <w:rPr>
          <w:rFonts w:ascii="Times New Roman" w:eastAsia="Times New Roman" w:hAnsi="Times New Roman" w:cs="Times New Roman"/>
          <w:color w:val="000000"/>
          <w:sz w:val="28"/>
          <w:szCs w:val="28"/>
        </w:rPr>
        <w:t xml:space="preserve"> сложилась:</w:t>
      </w:r>
    </w:p>
    <w:p w:rsidR="00536A77" w:rsidRDefault="00DE39C7">
      <w:pPr>
        <w:numPr>
          <w:ilvl w:val="0"/>
          <w:numId w:val="1"/>
        </w:numPr>
        <w:ind w:left="720" w:hanging="360"/>
        <w:jc w:val="both"/>
        <w:rPr>
          <w:rFonts w:ascii="Arial" w:eastAsia="Arial" w:hAnsi="Arial" w:cs="Arial"/>
          <w:b/>
          <w:i/>
          <w:color w:val="000000"/>
          <w:sz w:val="28"/>
        </w:rPr>
      </w:pPr>
      <w:r>
        <w:rPr>
          <w:rFonts w:ascii="Times New Roman" w:eastAsia="Times New Roman" w:hAnsi="Times New Roman" w:cs="Times New Roman"/>
          <w:b/>
          <w:i/>
          <w:color w:val="000000"/>
          <w:sz w:val="28"/>
          <w:szCs w:val="28"/>
        </w:rPr>
        <w:t xml:space="preserve">по приносящей доход деятельности </w:t>
      </w:r>
      <w:r>
        <w:rPr>
          <w:rFonts w:ascii="Times New Roman" w:eastAsia="Times New Roman" w:hAnsi="Times New Roman" w:cs="Times New Roman"/>
          <w:color w:val="000000"/>
          <w:sz w:val="28"/>
          <w:szCs w:val="28"/>
        </w:rPr>
        <w:t>на конец отчетного периода</w:t>
      </w:r>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в размере</w:t>
      </w:r>
      <w:r>
        <w:rPr>
          <w:rFonts w:ascii="Times New Roman" w:eastAsia="Times New Roman" w:hAnsi="Times New Roman" w:cs="Times New Roman"/>
          <w:b/>
          <w:i/>
          <w:color w:val="000000"/>
          <w:sz w:val="28"/>
          <w:szCs w:val="28"/>
        </w:rPr>
        <w:t xml:space="preserve"> 13 985 691,23 </w:t>
      </w:r>
      <w:r>
        <w:rPr>
          <w:rFonts w:ascii="Times New Roman" w:eastAsia="Times New Roman" w:hAnsi="Times New Roman" w:cs="Times New Roman"/>
          <w:color w:val="000000"/>
          <w:sz w:val="28"/>
          <w:szCs w:val="28"/>
        </w:rPr>
        <w:t>рублей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2.205.21 "Расчеты по доходам от операционной аренды"  в сумме 101 716,80  рублей. По сравнению с показателем на 01.01.2023 (127 146,00  рублей)  произошло  уменьшение в результате  списания доходов будущих периодов (аренда помещений);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2.205.31 "Расчеты с плательщиками доходов от оказания платных работ, услуг" в сумме 13 863 287,43 рублей:</w:t>
      </w:r>
    </w:p>
    <w:p w:rsidR="00536A77" w:rsidRDefault="00DE39C7">
      <w:pPr>
        <w:numPr>
          <w:ilvl w:val="0"/>
          <w:numId w:val="2"/>
        </w:numPr>
        <w:ind w:left="1580"/>
        <w:jc w:val="both"/>
        <w:rPr>
          <w:rFonts w:ascii="Wingdings" w:eastAsia="Wingdings" w:hAnsi="Wingdings" w:cs="Wingdings"/>
          <w:color w:val="000000"/>
          <w:sz w:val="28"/>
        </w:rPr>
      </w:pPr>
      <w:r>
        <w:rPr>
          <w:rFonts w:ascii="Times New Roman" w:eastAsia="Times New Roman" w:hAnsi="Times New Roman" w:cs="Times New Roman"/>
          <w:color w:val="000000"/>
          <w:sz w:val="28"/>
          <w:szCs w:val="28"/>
        </w:rPr>
        <w:t>из начисленных резервов по оплате обучения до конца срока действия договоров  студентами очной и заочной формы, обучающимися на платной основе, в размере 12 119 699,00 рублей. По сравнению с показателем на 01.01.2023 г. (13 522 726,37 рублей) произошло   уменьшение в результате корректировки резервов по оплате обучения студентами, уменьшением количества внебюджетных групп.  </w:t>
      </w:r>
    </w:p>
    <w:p w:rsidR="00536A77" w:rsidRDefault="00DE39C7">
      <w:pPr>
        <w:numPr>
          <w:ilvl w:val="0"/>
          <w:numId w:val="2"/>
        </w:numPr>
        <w:ind w:left="1580"/>
        <w:jc w:val="both"/>
        <w:rPr>
          <w:rFonts w:ascii="Wingdings" w:eastAsia="Wingdings" w:hAnsi="Wingdings" w:cs="Wingdings"/>
          <w:color w:val="000000"/>
          <w:sz w:val="28"/>
        </w:rPr>
      </w:pPr>
      <w:r>
        <w:rPr>
          <w:rFonts w:ascii="Times New Roman" w:eastAsia="Times New Roman" w:hAnsi="Times New Roman" w:cs="Times New Roman"/>
          <w:color w:val="000000"/>
          <w:sz w:val="28"/>
          <w:szCs w:val="28"/>
        </w:rPr>
        <w:lastRenderedPageBreak/>
        <w:t xml:space="preserve">из сумм за оказанные в декабре 2023 г. услуги по изготовлению металлоизделий - 863 806,58 рублей, по дополнительному профессиональному образованию - 424 666,97 рублей, по повышению квалификации - 455 114,88 рублей. Согласно условиям договора задолженность подлежит оплате  в январе 2024 г.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2.303.14 «Расчеты по единому налоговому платежу» в сумме 20 687,00 рублей за счет  страховых взносов перечисленных, но еще не зачтенных по уведомлению.</w:t>
      </w:r>
    </w:p>
    <w:p w:rsidR="00536A77" w:rsidRDefault="00DE39C7">
      <w:pPr>
        <w:numPr>
          <w:ilvl w:val="0"/>
          <w:numId w:val="3"/>
        </w:numPr>
        <w:jc w:val="both"/>
        <w:rPr>
          <w:rFonts w:ascii="Arial" w:eastAsia="Arial" w:hAnsi="Arial" w:cs="Arial"/>
          <w:color w:val="000000"/>
          <w:sz w:val="28"/>
        </w:rPr>
      </w:pPr>
      <w:r>
        <w:rPr>
          <w:rFonts w:ascii="Times New Roman" w:eastAsia="Times New Roman" w:hAnsi="Times New Roman" w:cs="Times New Roman"/>
          <w:b/>
          <w:i/>
          <w:color w:val="000000"/>
          <w:sz w:val="28"/>
          <w:szCs w:val="28"/>
        </w:rPr>
        <w:t>по субсидии на выполнение государственного задания</w:t>
      </w:r>
      <w:r>
        <w:rPr>
          <w:rFonts w:ascii="Times New Roman" w:eastAsia="Times New Roman" w:hAnsi="Times New Roman" w:cs="Times New Roman"/>
          <w:color w:val="000000"/>
          <w:sz w:val="28"/>
          <w:szCs w:val="28"/>
        </w:rPr>
        <w:t xml:space="preserve"> на конец отчетного периода в размере </w:t>
      </w:r>
      <w:r>
        <w:rPr>
          <w:rFonts w:ascii="Times New Roman" w:eastAsia="Times New Roman" w:hAnsi="Times New Roman" w:cs="Times New Roman"/>
          <w:b/>
          <w:i/>
          <w:color w:val="000000"/>
          <w:sz w:val="28"/>
          <w:szCs w:val="28"/>
        </w:rPr>
        <w:t xml:space="preserve">2 557 289,48 </w:t>
      </w:r>
      <w:r>
        <w:rPr>
          <w:rFonts w:ascii="Times New Roman" w:eastAsia="Times New Roman" w:hAnsi="Times New Roman" w:cs="Times New Roman"/>
          <w:color w:val="000000"/>
          <w:sz w:val="28"/>
          <w:szCs w:val="28"/>
        </w:rPr>
        <w:t>рублей,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4.205.31  "Расчеты по доходам от оказания платных услуг(работ)" в сумме 2 300 000,00  рублей из начисления доходов будущих периодов по субсидии на выполнение государственного задания на оплату услуг невооруженной охраны в соответствии с информационным письмом Министерства образования и науки Хабаровского края  о размере субсидии</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на 2024 г..</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По сравнению с показателем на 01.01.2023 г. (0,00 рублей)  произошло увеличение дебиторской задолженности</w:t>
      </w:r>
      <w:r>
        <w:rPr>
          <w:rFonts w:ascii="Times New Roman" w:eastAsia="Times New Roman" w:hAnsi="Times New Roman" w:cs="Times New Roman"/>
          <w:color w:val="FF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4.206.23  "Расчеты по авансам по коммунальным услугам" в сумме 257 289,48  рублей из аванса в размере 70% за декабрь 2023 г. по оплате  за электрическую энергию  в размере 215 870,00 и суммы аванса за декабрь 2023 г. на оплату за тепловую энергию в размере 41 719,48 рублей согласно условиям договора.</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По сравнению с показателем на 01.01.2023 г. (230 000,00 рублей)  произошло увеличение дебиторской задолженности</w:t>
      </w:r>
      <w:r>
        <w:rPr>
          <w:rFonts w:ascii="Times New Roman" w:eastAsia="Times New Roman" w:hAnsi="Times New Roman" w:cs="Times New Roman"/>
          <w:color w:val="FF0000"/>
          <w:sz w:val="28"/>
          <w:szCs w:val="28"/>
        </w:rPr>
        <w:t>.</w:t>
      </w:r>
    </w:p>
    <w:p w:rsidR="00536A77" w:rsidRDefault="00DE39C7">
      <w:pPr>
        <w:numPr>
          <w:ilvl w:val="0"/>
          <w:numId w:val="4"/>
        </w:numPr>
        <w:jc w:val="both"/>
        <w:rPr>
          <w:rFonts w:ascii="Arial" w:eastAsia="Arial" w:hAnsi="Arial" w:cs="Arial"/>
          <w:color w:val="000000"/>
          <w:sz w:val="28"/>
        </w:rPr>
      </w:pPr>
      <w:r>
        <w:rPr>
          <w:rFonts w:ascii="Times New Roman" w:eastAsia="Times New Roman" w:hAnsi="Times New Roman" w:cs="Times New Roman"/>
          <w:b/>
          <w:i/>
          <w:color w:val="000000"/>
          <w:sz w:val="28"/>
          <w:szCs w:val="28"/>
        </w:rPr>
        <w:t>по субсидии на иные цели</w:t>
      </w:r>
      <w:r>
        <w:rPr>
          <w:rFonts w:ascii="Times New Roman" w:eastAsia="Times New Roman" w:hAnsi="Times New Roman" w:cs="Times New Roman"/>
          <w:color w:val="000000"/>
          <w:sz w:val="28"/>
          <w:szCs w:val="28"/>
        </w:rPr>
        <w:t xml:space="preserve"> на конец отчетного периода в размере</w:t>
      </w:r>
      <w:r>
        <w:rPr>
          <w:rFonts w:ascii="Times New Roman" w:eastAsia="Times New Roman" w:hAnsi="Times New Roman" w:cs="Times New Roman"/>
          <w:b/>
          <w:i/>
          <w:color w:val="000000"/>
          <w:sz w:val="28"/>
          <w:szCs w:val="28"/>
        </w:rPr>
        <w:t xml:space="preserve"> 128 159 310,00 </w:t>
      </w:r>
      <w:r>
        <w:rPr>
          <w:rFonts w:ascii="Times New Roman" w:eastAsia="Times New Roman" w:hAnsi="Times New Roman" w:cs="Times New Roman"/>
          <w:color w:val="000000"/>
          <w:sz w:val="28"/>
          <w:szCs w:val="28"/>
        </w:rPr>
        <w:t>рублей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счету 5.205.52   "Расчеты по поступлениям текущего характера бюджетным и автономным учреждениям от  сектора государственного управления " в сумме </w:t>
      </w:r>
      <w:r>
        <w:rPr>
          <w:rFonts w:ascii="Times New Roman" w:eastAsia="Times New Roman" w:hAnsi="Times New Roman" w:cs="Times New Roman"/>
          <w:i/>
          <w:color w:val="000000"/>
          <w:sz w:val="28"/>
          <w:szCs w:val="28"/>
        </w:rPr>
        <w:t>128 159 310,00</w:t>
      </w:r>
      <w:r>
        <w:rPr>
          <w:rFonts w:ascii="Times New Roman" w:eastAsia="Times New Roman" w:hAnsi="Times New Roman" w:cs="Times New Roman"/>
          <w:color w:val="000000"/>
          <w:sz w:val="28"/>
          <w:szCs w:val="28"/>
        </w:rPr>
        <w:t xml:space="preserve"> рублей   из сумм начисления доходов будущих периодов – субсидии на иные цели по Соглашению от 12.12.2023 г., на 2024 - 2026 </w:t>
      </w:r>
      <w:proofErr w:type="spellStart"/>
      <w:r>
        <w:rPr>
          <w:rFonts w:ascii="Times New Roman" w:eastAsia="Times New Roman" w:hAnsi="Times New Roman" w:cs="Times New Roman"/>
          <w:color w:val="000000"/>
          <w:sz w:val="28"/>
          <w:szCs w:val="28"/>
        </w:rPr>
        <w:t>г.г</w:t>
      </w:r>
      <w:proofErr w:type="spellEnd"/>
      <w:r>
        <w:rPr>
          <w:rFonts w:ascii="Times New Roman" w:eastAsia="Times New Roman" w:hAnsi="Times New Roman" w:cs="Times New Roman"/>
          <w:color w:val="000000"/>
          <w:sz w:val="28"/>
          <w:szCs w:val="28"/>
        </w:rPr>
        <w:t xml:space="preserve">. По сравнению с показателем на 01.01.2023 (20 768 290,00 рублей) произошло увеличение дебиторской задолженности в связи с доведением лимитов на плановый 2025-2026 </w:t>
      </w:r>
      <w:proofErr w:type="spellStart"/>
      <w:r>
        <w:rPr>
          <w:rFonts w:ascii="Times New Roman" w:eastAsia="Times New Roman" w:hAnsi="Times New Roman" w:cs="Times New Roman"/>
          <w:color w:val="000000"/>
          <w:sz w:val="28"/>
          <w:szCs w:val="28"/>
        </w:rPr>
        <w:t>г.г</w:t>
      </w:r>
      <w:proofErr w:type="spellEnd"/>
      <w:r>
        <w:rPr>
          <w:rFonts w:ascii="Times New Roman" w:eastAsia="Times New Roman" w:hAnsi="Times New Roman" w:cs="Times New Roman"/>
          <w:color w:val="00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Кредиторская задолженность на 01.01.2024г. по обязательствам в размере </w:t>
      </w:r>
      <w:r>
        <w:rPr>
          <w:rFonts w:ascii="Times New Roman" w:eastAsia="Times New Roman" w:hAnsi="Times New Roman" w:cs="Times New Roman"/>
          <w:b/>
          <w:color w:val="000000"/>
          <w:sz w:val="28"/>
          <w:szCs w:val="28"/>
        </w:rPr>
        <w:t>4 703 318,78</w:t>
      </w:r>
      <w:r>
        <w:rPr>
          <w:rFonts w:ascii="Times New Roman" w:eastAsia="Times New Roman" w:hAnsi="Times New Roman" w:cs="Times New Roman"/>
          <w:b/>
          <w:color w:val="FF0000"/>
          <w:sz w:val="28"/>
          <w:szCs w:val="28"/>
        </w:rPr>
        <w:t xml:space="preserve"> </w:t>
      </w:r>
      <w:r>
        <w:rPr>
          <w:rFonts w:ascii="Times New Roman" w:eastAsia="Times New Roman" w:hAnsi="Times New Roman" w:cs="Times New Roman"/>
          <w:color w:val="000000"/>
          <w:sz w:val="28"/>
          <w:szCs w:val="28"/>
        </w:rPr>
        <w:t>рублей</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сложилась:</w:t>
      </w:r>
    </w:p>
    <w:p w:rsidR="00536A77" w:rsidRDefault="00DE39C7">
      <w:pPr>
        <w:numPr>
          <w:ilvl w:val="0"/>
          <w:numId w:val="5"/>
        </w:numPr>
        <w:jc w:val="both"/>
        <w:rPr>
          <w:rFonts w:ascii="Arial" w:eastAsia="Arial" w:hAnsi="Arial" w:cs="Arial"/>
          <w:b/>
          <w:i/>
          <w:color w:val="000000"/>
          <w:sz w:val="28"/>
        </w:rPr>
      </w:pPr>
      <w:r>
        <w:rPr>
          <w:rFonts w:ascii="Times New Roman" w:eastAsia="Times New Roman" w:hAnsi="Times New Roman" w:cs="Times New Roman"/>
          <w:b/>
          <w:i/>
          <w:color w:val="000000"/>
          <w:sz w:val="28"/>
          <w:szCs w:val="28"/>
        </w:rPr>
        <w:t xml:space="preserve">по приносящей доход деятельности </w:t>
      </w:r>
      <w:r>
        <w:rPr>
          <w:rFonts w:ascii="Times New Roman" w:eastAsia="Times New Roman" w:hAnsi="Times New Roman" w:cs="Times New Roman"/>
          <w:color w:val="000000"/>
          <w:sz w:val="28"/>
          <w:szCs w:val="28"/>
        </w:rPr>
        <w:t>на конец отчетного периода</w:t>
      </w:r>
      <w:r>
        <w:rPr>
          <w:rFonts w:ascii="Times New Roman" w:eastAsia="Times New Roman" w:hAnsi="Times New Roman" w:cs="Times New Roman"/>
          <w:b/>
          <w:i/>
          <w:color w:val="000000"/>
          <w:sz w:val="28"/>
          <w:szCs w:val="28"/>
        </w:rPr>
        <w:t xml:space="preserve"> 201 007,00  </w:t>
      </w:r>
      <w:r>
        <w:rPr>
          <w:rFonts w:ascii="Times New Roman" w:eastAsia="Times New Roman" w:hAnsi="Times New Roman" w:cs="Times New Roman"/>
          <w:color w:val="000000"/>
          <w:sz w:val="28"/>
          <w:szCs w:val="28"/>
        </w:rPr>
        <w:t>рублей,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2.205.31 "Расчеты с плательщиками доходов от оказания платных работ, услуг" в сумме 201 007,00  рублей за счет предоплаты студентами за обучение, общежитие за январь 2024 г.  По сравнению с показателем  на 01.01.2023 (437  779,52  рублей) произошло уменьшение кредиторской задолженности.</w:t>
      </w:r>
    </w:p>
    <w:p w:rsidR="00536A77" w:rsidRDefault="00DE39C7">
      <w:pPr>
        <w:numPr>
          <w:ilvl w:val="0"/>
          <w:numId w:val="6"/>
        </w:numPr>
        <w:jc w:val="both"/>
        <w:rPr>
          <w:rFonts w:ascii="Arial" w:eastAsia="Arial" w:hAnsi="Arial" w:cs="Arial"/>
          <w:color w:val="000000"/>
          <w:sz w:val="28"/>
        </w:rPr>
      </w:pPr>
      <w:r>
        <w:rPr>
          <w:rFonts w:ascii="Times New Roman" w:eastAsia="Times New Roman" w:hAnsi="Times New Roman" w:cs="Times New Roman"/>
          <w:b/>
          <w:i/>
          <w:color w:val="000000"/>
          <w:sz w:val="28"/>
          <w:szCs w:val="28"/>
        </w:rPr>
        <w:lastRenderedPageBreak/>
        <w:t>по субсидии на выполнение государственного задания</w:t>
      </w:r>
      <w:r>
        <w:rPr>
          <w:rFonts w:ascii="Times New Roman" w:eastAsia="Times New Roman" w:hAnsi="Times New Roman" w:cs="Times New Roman"/>
          <w:color w:val="000000"/>
          <w:sz w:val="28"/>
          <w:szCs w:val="28"/>
        </w:rPr>
        <w:t xml:space="preserve"> на конец отчетного периода</w:t>
      </w:r>
      <w:r>
        <w:rPr>
          <w:rFonts w:ascii="Times New Roman" w:eastAsia="Times New Roman" w:hAnsi="Times New Roman" w:cs="Times New Roman"/>
          <w:b/>
          <w:i/>
          <w:color w:val="000000"/>
          <w:sz w:val="28"/>
          <w:szCs w:val="28"/>
        </w:rPr>
        <w:t xml:space="preserve"> 1 855 478,44 </w:t>
      </w:r>
      <w:r>
        <w:rPr>
          <w:rFonts w:ascii="Times New Roman" w:eastAsia="Times New Roman" w:hAnsi="Times New Roman" w:cs="Times New Roman"/>
          <w:color w:val="000000"/>
          <w:sz w:val="28"/>
          <w:szCs w:val="28"/>
        </w:rPr>
        <w:t>рублей,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счету 4.302.21 «Расчеты по услугам связи» в сумме 7 841,70 рубль за услуги  предоставления местной телефонной связи и  интернета, начисленные за декабрь 2023г. Согласно условиям договора задолженность подлежит оплате  до 15 января 2024 г. По сравнению с показателем на 01.01.2023 (11 750,55 рублей)  произошло уменьшение  кредиторской задолженности.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счету 4.302.23 «Расчеты по коммунальным услугам» в сумме 51 440,22 рублей за услуги холодного водоснабжения и  водоотведения начисленные за декабрь 2023г. Согласно условиям договора задолженность подлежит оплате  до 15 января 2024 г. По сравнению с показателем на 01.01.2023 г. (1 717 720,55 рублей)  произошло уменьшение  кредиторской задолженности.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4.302.25 «Расчеты по работам, услугам по содержанию имущества» в сумме 29 912,03  рублей  за услуги  по вывозу и захоронению отходов, дератизацию и дезинсекцию, за декабрь 2023г. Согласно условиям договора задолженность подлежит оплате  до 30 января 2024 г. По сравнению с показателем на 01.01.2023 г. (45 180,00  рублей)  произошло уменьшение  кредиторской задолженности по этому показателю.</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4.302.26 «Расчеты по прочим работам, услугам» в сумме 17 767,80 рублей за услугу по предварительному рейсовому медосмотру водителей за декабрь 2023 г. Согласно условиям договора задолженность подлежит оплате  до 30 января 2024 г. По состоянию на 01.01.2023 г. дебиторская задолженность отсутствовала.</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4.303.15 «Расчеты по единому страховому тарифу» в сумме 1 748 516,69 рублей из начисленных страховых взносов за декабрь 2023 г. По сравнению с показателем на 01.01.2023 г. (2 369 871,99 рублей) произошло уменьшение. Оплата страховых взносов предусмотрена до 28 января 2024 г.</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i/>
          <w:color w:val="000000"/>
          <w:sz w:val="28"/>
          <w:szCs w:val="28"/>
        </w:rPr>
        <w:t> Аналитическая информация об экономии при заключении договоров с применением конкурентных способов формы 0503775.</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Экономия в результате применения конкурентных способов по счетам составила 2 098 012,74 рублей:</w:t>
      </w:r>
    </w:p>
    <w:p w:rsidR="00536A77" w:rsidRDefault="00DE39C7">
      <w:pPr>
        <w:numPr>
          <w:ilvl w:val="0"/>
          <w:numId w:val="7"/>
        </w:numPr>
        <w:ind w:left="1520"/>
        <w:jc w:val="both"/>
        <w:rPr>
          <w:rFonts w:ascii="Wingdings" w:eastAsia="Wingdings" w:hAnsi="Wingdings" w:cs="Wingdings"/>
          <w:color w:val="000000"/>
          <w:sz w:val="24"/>
        </w:rPr>
      </w:pPr>
      <w:r>
        <w:rPr>
          <w:rFonts w:ascii="Times New Roman" w:eastAsia="Times New Roman" w:hAnsi="Times New Roman" w:cs="Times New Roman"/>
          <w:color w:val="000000"/>
          <w:sz w:val="28"/>
          <w:szCs w:val="28"/>
        </w:rPr>
        <w:t>4 502 17 226 при заключении договора на оказание услуг по охране недвижимого имущества в сумме 290 496,00 рублей;</w:t>
      </w:r>
    </w:p>
    <w:p w:rsidR="00536A77" w:rsidRDefault="00DE39C7">
      <w:pPr>
        <w:numPr>
          <w:ilvl w:val="0"/>
          <w:numId w:val="7"/>
        </w:numPr>
        <w:ind w:left="1520"/>
        <w:jc w:val="both"/>
        <w:rPr>
          <w:rFonts w:ascii="Wingdings" w:eastAsia="Wingdings" w:hAnsi="Wingdings" w:cs="Wingdings"/>
          <w:color w:val="000000"/>
          <w:sz w:val="28"/>
        </w:rPr>
      </w:pPr>
      <w:r>
        <w:rPr>
          <w:rFonts w:ascii="Times New Roman" w:eastAsia="Times New Roman" w:hAnsi="Times New Roman" w:cs="Times New Roman"/>
          <w:color w:val="000000"/>
          <w:sz w:val="28"/>
          <w:szCs w:val="28"/>
        </w:rPr>
        <w:t>5 502 17 342 при заключении договора на приобретение продуктов питания в сумме 935 618,33 рублей;</w:t>
      </w:r>
    </w:p>
    <w:p w:rsidR="00536A77" w:rsidRDefault="00DE39C7">
      <w:pPr>
        <w:numPr>
          <w:ilvl w:val="0"/>
          <w:numId w:val="7"/>
        </w:numPr>
        <w:ind w:left="1520"/>
        <w:jc w:val="both"/>
        <w:rPr>
          <w:rFonts w:ascii="Wingdings" w:eastAsia="Wingdings" w:hAnsi="Wingdings" w:cs="Wingdings"/>
          <w:color w:val="000000"/>
          <w:sz w:val="28"/>
        </w:rPr>
      </w:pPr>
      <w:r>
        <w:rPr>
          <w:rFonts w:ascii="Times New Roman" w:eastAsia="Times New Roman" w:hAnsi="Times New Roman" w:cs="Times New Roman"/>
          <w:color w:val="000000"/>
          <w:sz w:val="28"/>
          <w:szCs w:val="28"/>
        </w:rPr>
        <w:lastRenderedPageBreak/>
        <w:t>4 502 17 226 при заключении договора на оказания услуг по прохождению периодических и предварительных медицинских осмотров в сумме 831 884,33 рублей;</w:t>
      </w:r>
    </w:p>
    <w:p w:rsidR="00536A77" w:rsidRDefault="00DE39C7">
      <w:pPr>
        <w:numPr>
          <w:ilvl w:val="0"/>
          <w:numId w:val="7"/>
        </w:numPr>
        <w:ind w:left="1520"/>
        <w:jc w:val="both"/>
        <w:rPr>
          <w:rFonts w:ascii="Wingdings" w:eastAsia="Wingdings" w:hAnsi="Wingdings" w:cs="Wingdings"/>
          <w:color w:val="000000"/>
          <w:sz w:val="28"/>
        </w:rPr>
      </w:pPr>
      <w:r>
        <w:rPr>
          <w:rFonts w:ascii="Times New Roman" w:eastAsia="Times New Roman" w:hAnsi="Times New Roman" w:cs="Times New Roman"/>
          <w:color w:val="000000"/>
          <w:sz w:val="28"/>
          <w:szCs w:val="28"/>
        </w:rPr>
        <w:t>2 502 17 225 при заключении договора на разработку проектно-сметной документации по капитальному ремонту системы АПС, СОУЭ при пожаре, СОУЭ при угрозе террористического акта в сумме 40 014,08 рублей.</w:t>
      </w:r>
    </w:p>
    <w:p w:rsidR="00536A77" w:rsidRDefault="00DE39C7">
      <w:pPr>
        <w:ind w:left="1520" w:hanging="360"/>
        <w:jc w:val="both"/>
        <w:rPr>
          <w:rFonts w:ascii="Times New Roman" w:eastAsia="Times New Roman" w:hAnsi="Times New Roman" w:cs="Times New Roman"/>
          <w:sz w:val="24"/>
        </w:rPr>
      </w:pPr>
      <w:r>
        <w:rPr>
          <w:rFonts w:ascii="Wingdings" w:eastAsia="Wingdings" w:hAnsi="Wingdings" w:cs="Wingdings"/>
          <w:color w:val="00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i/>
          <w:color w:val="000000"/>
          <w:sz w:val="28"/>
          <w:szCs w:val="28"/>
        </w:rPr>
        <w:t> По вопросу отклонений показателей контрольных соотношений, установленных Министерством финансов Российской Федерации поясняем:</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bl>
      <w:tblPr>
        <w:tblW w:w="9495" w:type="dxa"/>
        <w:tblBorders>
          <w:top w:val="nil"/>
          <w:left w:val="nil"/>
          <w:bottom w:val="nil"/>
          <w:right w:val="nil"/>
        </w:tblBorders>
        <w:tblCellMar>
          <w:left w:w="0" w:type="dxa"/>
          <w:right w:w="0" w:type="dxa"/>
        </w:tblCellMar>
        <w:tblLook w:val="04A0" w:firstRow="1" w:lastRow="0" w:firstColumn="1" w:lastColumn="0" w:noHBand="0" w:noVBand="1"/>
      </w:tblPr>
      <w:tblGrid>
        <w:gridCol w:w="1826"/>
        <w:gridCol w:w="1706"/>
        <w:gridCol w:w="2566"/>
        <w:gridCol w:w="3397"/>
      </w:tblGrid>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ВДК или 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Номер</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Формы</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Контрольное </w:t>
            </w:r>
            <w:r>
              <w:rPr>
                <w:rFonts w:ascii="Times New Roman" w:eastAsia="Times New Roman" w:hAnsi="Times New Roman" w:cs="Times New Roman"/>
                <w:color w:val="000000"/>
              </w:rPr>
              <w:br/>
              <w:t xml:space="preserve">соотношение </w:t>
            </w:r>
            <w:r>
              <w:rPr>
                <w:rFonts w:ascii="Times New Roman" w:eastAsia="Times New Roman" w:hAnsi="Times New Roman" w:cs="Times New Roman"/>
                <w:color w:val="000000"/>
              </w:rPr>
              <w:br/>
              <w:t>(текст ошибки) / КБК</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Сумма </w:t>
            </w:r>
            <w:r>
              <w:rPr>
                <w:rFonts w:ascii="Times New Roman" w:eastAsia="Times New Roman" w:hAnsi="Times New Roman" w:cs="Times New Roman"/>
                <w:color w:val="000000"/>
              </w:rPr>
              <w:br/>
              <w:t>отклонения (руб.)</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Причины</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2</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Calibri" w:eastAsia="Calibri" w:hAnsi="Calibri" w:cs="Calibri"/>
                <w:color w:val="000000"/>
              </w:rPr>
              <w:t>3</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Calibri" w:eastAsia="Calibri" w:hAnsi="Calibri" w:cs="Calibri"/>
                <w:color w:val="000000"/>
              </w:rPr>
              <w:t>4</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ВДК ф. </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0503737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bookmarkStart w:id="1" w:name="1RU1128607"/>
            <w:r>
              <w:rPr>
                <w:rFonts w:ascii="Times New Roman" w:eastAsia="Times New Roman" w:hAnsi="Times New Roman" w:cs="Times New Roman"/>
                <w:color w:val="000000"/>
              </w:rPr>
              <w:t>Показатели Гр.8 не равны 0 – требуются пояснения по отраженным операциям</w:t>
            </w:r>
            <w:bookmarkEnd w:id="1"/>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95 400,00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Отражение операции по зачету взаимных требований на сумму 95400,00 между КГА ПОУ ГАСКК МЦК и ПАК «ОАК» - </w:t>
            </w:r>
            <w:proofErr w:type="spellStart"/>
            <w:r>
              <w:rPr>
                <w:rFonts w:ascii="Times New Roman" w:eastAsia="Times New Roman" w:hAnsi="Times New Roman" w:cs="Times New Roman"/>
                <w:color w:val="000000"/>
              </w:rPr>
              <w:t>КнААЗ</w:t>
            </w:r>
            <w:proofErr w:type="spellEnd"/>
            <w:r>
              <w:rPr>
                <w:rFonts w:ascii="Times New Roman" w:eastAsia="Times New Roman" w:hAnsi="Times New Roman" w:cs="Times New Roman"/>
                <w:color w:val="000000"/>
              </w:rPr>
              <w:t xml:space="preserve"> им Ю.А. Гагарина»</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 0503738G</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bookmarkStart w:id="2" w:name="1RU1152516"/>
            <w:r>
              <w:rPr>
                <w:rFonts w:ascii="Times New Roman" w:eastAsia="Times New Roman" w:hAnsi="Times New Roman" w:cs="Times New Roman"/>
                <w:color w:val="000000"/>
              </w:rPr>
              <w:t>Показатель принятых обязательств превышает плановые назначения – требуется пояснение</w:t>
            </w:r>
            <w:bookmarkEnd w:id="2"/>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-1 009 153,40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Принятие отложенные обязательства на оплату отпусков, страховые взносы</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 0503738G</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Показатель принятых обязательств превышает плановые назначения – требуется </w:t>
            </w:r>
            <w:r>
              <w:rPr>
                <w:rFonts w:ascii="Times New Roman" w:eastAsia="Times New Roman" w:hAnsi="Times New Roman" w:cs="Times New Roman"/>
                <w:color w:val="000000"/>
              </w:rPr>
              <w:lastRenderedPageBreak/>
              <w:t>пояснение</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-14 747 689,57</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Принятие отложенные обязательства на оплату отпусков, страховые взносы</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ф. 0503769_Д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bookmarkStart w:id="3" w:name="1RU1123278"/>
            <w:r>
              <w:rPr>
                <w:rFonts w:ascii="Times New Roman" w:eastAsia="Times New Roman" w:hAnsi="Times New Roman" w:cs="Times New Roman"/>
                <w:color w:val="000000"/>
              </w:rPr>
              <w:t>Показатели графы 7 по счету х206хх00х не равны показателю графы 8</w:t>
            </w:r>
            <w:bookmarkEnd w:id="3"/>
            <w:r>
              <w:rPr>
                <w:rFonts w:ascii="Times New Roman" w:eastAsia="Times New Roman" w:hAnsi="Times New Roman" w:cs="Times New Roman"/>
                <w:color w:val="000000"/>
              </w:rPr>
              <w:t xml:space="preserve">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845,00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 0503769_К</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5</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bookmarkStart w:id="4" w:name="1RU1123526"/>
            <w:r>
              <w:rPr>
                <w:rFonts w:ascii="Times New Roman" w:eastAsia="Times New Roman" w:hAnsi="Times New Roman" w:cs="Times New Roman"/>
                <w:color w:val="000000"/>
              </w:rPr>
              <w:t>Показатели графы 5 по счету х302хх00х не равны показателю графы 6</w:t>
            </w:r>
            <w:bookmarkEnd w:id="4"/>
            <w:r>
              <w:rPr>
                <w:rFonts w:ascii="Times New Roman" w:eastAsia="Times New Roman" w:hAnsi="Times New Roman" w:cs="Times New Roman"/>
                <w:color w:val="000000"/>
              </w:rPr>
              <w:t xml:space="preserve">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1 535,50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 0503769_К</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5</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4 128,00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ф. 0503769_К</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5</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 xml:space="preserve">Показатели </w:t>
            </w:r>
            <w:r>
              <w:rPr>
                <w:rFonts w:ascii="Times New Roman" w:eastAsia="Times New Roman" w:hAnsi="Times New Roman" w:cs="Times New Roman"/>
                <w:color w:val="000000"/>
              </w:rPr>
              <w:lastRenderedPageBreak/>
              <w:t>графы 5 по счету х302хх00х не равны показателю графы 6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10 365,92</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Восстановление кассовых </w:t>
            </w:r>
            <w:r>
              <w:rPr>
                <w:rFonts w:ascii="Times New Roman" w:eastAsia="Times New Roman" w:hAnsi="Times New Roman" w:cs="Times New Roman"/>
                <w:color w:val="000000"/>
              </w:rPr>
              <w:lastRenderedPageBreak/>
              <w:t>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МДК</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ф. 0503769_К</w:t>
            </w:r>
          </w:p>
          <w:p w:rsidR="00536A77" w:rsidRDefault="00DE39C7">
            <w:pPr>
              <w:jc w:val="center"/>
              <w:rPr>
                <w:rFonts w:ascii="Times New Roman" w:eastAsia="Times New Roman" w:hAnsi="Times New Roman" w:cs="Times New Roman"/>
                <w:sz w:val="24"/>
              </w:rPr>
            </w:pP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5</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16 029,42</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135 050,24</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Показатели графы 5  по счету х302хх00х не равны </w:t>
            </w:r>
            <w:r>
              <w:rPr>
                <w:rFonts w:ascii="Times New Roman" w:eastAsia="Times New Roman" w:hAnsi="Times New Roman" w:cs="Times New Roman"/>
                <w:color w:val="000000"/>
              </w:rPr>
              <w:lastRenderedPageBreak/>
              <w:t>показателю графы 8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42 774,20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7 по счету х302хх00х не равны показателю графы 8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16 779,00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194 603,44</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 </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Показатели графы 5 по счету х302хх00х не равны показателю графы 6 – допустимо в </w:t>
            </w:r>
            <w:r>
              <w:rPr>
                <w:rFonts w:ascii="Times New Roman" w:eastAsia="Times New Roman" w:hAnsi="Times New Roman" w:cs="Times New Roman"/>
                <w:color w:val="000000"/>
              </w:rPr>
              <w:lastRenderedPageBreak/>
              <w:t>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135 050,24</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42 774,20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4</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16 779,00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Показатели графы 5 по счету х302хх00х не равны показателю графы 6 – допустимо в части операций по восстановлению </w:t>
            </w:r>
            <w:r>
              <w:rPr>
                <w:rFonts w:ascii="Times New Roman" w:eastAsia="Times New Roman" w:hAnsi="Times New Roman" w:cs="Times New Roman"/>
                <w:color w:val="000000"/>
              </w:rPr>
              <w:lastRenderedPageBreak/>
              <w:t>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0,30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1 470,00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600,00</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44 936,95</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r w:rsidR="00536A77">
        <w:trPr>
          <w:trHeight w:val="275"/>
        </w:trPr>
        <w:tc>
          <w:tcPr>
            <w:tcW w:w="18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lastRenderedPageBreak/>
              <w:t xml:space="preserve">ВДК ф. 0503769_К </w:t>
            </w:r>
            <w:proofErr w:type="spellStart"/>
            <w:r>
              <w:rPr>
                <w:rFonts w:ascii="Times New Roman" w:eastAsia="Times New Roman" w:hAnsi="Times New Roman" w:cs="Times New Roman"/>
                <w:color w:val="000000"/>
              </w:rPr>
              <w:t>ВидФинОб</w:t>
            </w:r>
            <w:proofErr w:type="spellEnd"/>
            <w:r>
              <w:rPr>
                <w:rFonts w:ascii="Times New Roman" w:eastAsia="Times New Roman" w:hAnsi="Times New Roman" w:cs="Times New Roman"/>
                <w:color w:val="000000"/>
              </w:rPr>
              <w:t xml:space="preserve"> = 2</w:t>
            </w:r>
          </w:p>
        </w:tc>
        <w:tc>
          <w:tcPr>
            <w:tcW w:w="170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Показатели графы 5 по счету х302хх00х не равны показателю графы 6 – допустимо в части операций по восстановлению кассовых расходов</w:t>
            </w:r>
          </w:p>
        </w:tc>
        <w:tc>
          <w:tcPr>
            <w:tcW w:w="2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color w:val="000000"/>
              </w:rPr>
              <w:t>47 007,25</w:t>
            </w:r>
          </w:p>
        </w:tc>
        <w:tc>
          <w:tcPr>
            <w:tcW w:w="33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rPr>
              <w:t>Восстановление кассовых расходов</w:t>
            </w:r>
          </w:p>
        </w:tc>
      </w:tr>
    </w:tbl>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Доходы будущих периодов, резервы предстоящих расходов</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По счету 2.401400 "Доходы будущих периодов" произошло уменьшение  в сравнении с 2022 г.  Показатель на 01.01.2024 г. составляет 11 061 790,33 рублей при показателе на начало года 27 657 091,23 рублей за счет корректировки  начисления резервов по оплате обучения студентами очной и заочной формы, обучающихся на платной основе.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По счету 4.401400 "Доходы будущих периодов" произошло увеличение  в сравнении с 2022 г.  Показатель на 01.01.2024 года составляет 2 300 000,00 рублей при показателе на начало 2023 г. 0,00 рублей  и является начислением  прочих доходов - субсидии на выполнение государственного задания на оплату услуг невооруженной охраны в соответствии с информационным письмом Министерства образования и науки Хабаровского края  о размере субсидии</w:t>
      </w:r>
      <w:r>
        <w:rPr>
          <w:rFonts w:ascii="Calibri" w:eastAsia="Calibri" w:hAnsi="Calibri" w:cs="Calibri"/>
          <w:color w:val="000000"/>
        </w:rPr>
        <w:t xml:space="preserve"> </w:t>
      </w:r>
      <w:r>
        <w:rPr>
          <w:rFonts w:ascii="Times New Roman" w:eastAsia="Times New Roman" w:hAnsi="Times New Roman" w:cs="Times New Roman"/>
          <w:color w:val="000000"/>
          <w:sz w:val="28"/>
          <w:szCs w:val="28"/>
        </w:rPr>
        <w:t>на 2024 г.</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По счету 5.401400 "Доходы будущих периодов" произошло увеличение  в сравнении с 2022 г..  Показатель на 01.01.2024 г. составляет 128 159 310,00 рублей при показателе на начало 2023 г. 20 768 290,00  рублей  и является начислением   прочих доходов - субсидии на иные цели в соответствии с информационным письмом Министерства образования и науки Хабаровского края  о размере субсидии на 2024-2026 </w:t>
      </w:r>
      <w:proofErr w:type="spellStart"/>
      <w:r>
        <w:rPr>
          <w:rFonts w:ascii="Times New Roman" w:eastAsia="Times New Roman" w:hAnsi="Times New Roman" w:cs="Times New Roman"/>
          <w:color w:val="000000"/>
          <w:sz w:val="28"/>
          <w:szCs w:val="28"/>
        </w:rPr>
        <w:t>г.г</w:t>
      </w:r>
      <w:proofErr w:type="spellEnd"/>
      <w:r>
        <w:rPr>
          <w:rFonts w:ascii="Times New Roman" w:eastAsia="Times New Roman" w:hAnsi="Times New Roman" w:cs="Times New Roman"/>
          <w:color w:val="00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По счету 2.401600 "Резервы предстоящих расходов" в сравнении с 2022 гг. изменений нет.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По счету 4.401600 "Резервы предстоящих расходов" произошло увеличение  в сравнении с 2022 г.  Показатель на 01.01.2024 г. составляет 15 192 211,13 рублей при показателе на начало года 13 669 628,67 </w:t>
      </w:r>
      <w:r>
        <w:rPr>
          <w:rFonts w:ascii="Times New Roman" w:eastAsia="Times New Roman" w:hAnsi="Times New Roman" w:cs="Times New Roman"/>
          <w:color w:val="000000"/>
          <w:sz w:val="28"/>
          <w:szCs w:val="28"/>
        </w:rPr>
        <w:lastRenderedPageBreak/>
        <w:t>рублей за счет начисления резервов на выплату в 2023 г. среднемесячного заработка, резервов по коммунальным услугам.</w:t>
      </w:r>
    </w:p>
    <w:p w:rsidR="00536A77" w:rsidRDefault="00DE39C7">
      <w:pPr>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Сведения о движении нефинансовых активов учреждения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i/>
          <w:color w:val="000000"/>
          <w:sz w:val="28"/>
          <w:szCs w:val="28"/>
        </w:rPr>
        <w:t>Приносящая доход деятельность:</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2.101000 "Основные средства" произошло увеличение стоимости имущества в сравнении с 2022 г. Показатель на 01.01.2024 г. составляет 195 692 565,25 рублей при показателе на начало года 168 381 277,13 рублей. Увеличение произошло за счет приобретения оборудования   по федеральной программе «</w:t>
      </w:r>
      <w:proofErr w:type="spellStart"/>
      <w:r>
        <w:rPr>
          <w:rFonts w:ascii="Times New Roman" w:eastAsia="Times New Roman" w:hAnsi="Times New Roman" w:cs="Times New Roman"/>
          <w:color w:val="000000"/>
          <w:sz w:val="28"/>
          <w:szCs w:val="28"/>
        </w:rPr>
        <w:t>Профессионалитет</w:t>
      </w:r>
      <w:proofErr w:type="spellEnd"/>
      <w:r>
        <w:rPr>
          <w:rFonts w:ascii="Times New Roman" w:eastAsia="Times New Roman" w:hAnsi="Times New Roman" w:cs="Times New Roman"/>
          <w:color w:val="000000"/>
          <w:sz w:val="28"/>
          <w:szCs w:val="28"/>
        </w:rPr>
        <w:t xml:space="preserve">» (стенды информационные), приобретения  оборудования за счет собственных средств (электрическая плита, машина овощерезательная-протирочная, столы, стулья, </w:t>
      </w:r>
      <w:proofErr w:type="spellStart"/>
      <w:r>
        <w:rPr>
          <w:rFonts w:ascii="Times New Roman" w:eastAsia="Times New Roman" w:hAnsi="Times New Roman" w:cs="Times New Roman"/>
          <w:color w:val="000000"/>
          <w:sz w:val="28"/>
          <w:szCs w:val="28"/>
        </w:rPr>
        <w:t>вэб</w:t>
      </w:r>
      <w:proofErr w:type="spellEnd"/>
      <w:r>
        <w:rPr>
          <w:rFonts w:ascii="Times New Roman" w:eastAsia="Times New Roman" w:hAnsi="Times New Roman" w:cs="Times New Roman"/>
          <w:color w:val="000000"/>
          <w:sz w:val="28"/>
          <w:szCs w:val="28"/>
        </w:rPr>
        <w:t>-камеры), а так же за счет безвозмездно полученных основных средств (</w:t>
      </w:r>
      <w:proofErr w:type="spellStart"/>
      <w:r>
        <w:rPr>
          <w:rFonts w:ascii="Times New Roman" w:eastAsia="Times New Roman" w:hAnsi="Times New Roman" w:cs="Times New Roman"/>
          <w:color w:val="000000"/>
          <w:sz w:val="28"/>
          <w:szCs w:val="28"/>
        </w:rPr>
        <w:t>углошлифовальные</w:t>
      </w:r>
      <w:proofErr w:type="spellEnd"/>
      <w:r>
        <w:rPr>
          <w:rFonts w:ascii="Times New Roman" w:eastAsia="Times New Roman" w:hAnsi="Times New Roman" w:cs="Times New Roman"/>
          <w:color w:val="000000"/>
          <w:sz w:val="28"/>
          <w:szCs w:val="28"/>
        </w:rPr>
        <w:t xml:space="preserve"> машинки, паяльники молотковые, печи электрические, телевизоры).</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счету 2.105000 "Материальные запасы"  произошло увеличение стоимости материальных запасов  в сравнении с 2022 г. Увеличение произошло в связи с приобретением расходных материалов для организации обучения и практики в мастерских, а так же за счет безвозмездно полученных материальных ценностей (пластины, державки, корпус сверла, сверло, фрезы, учебно-методический комплекс «</w:t>
      </w:r>
      <w:proofErr w:type="spellStart"/>
      <w:r>
        <w:rPr>
          <w:rFonts w:ascii="Times New Roman" w:eastAsia="Times New Roman" w:hAnsi="Times New Roman" w:cs="Times New Roman"/>
          <w:color w:val="000000"/>
          <w:sz w:val="28"/>
          <w:szCs w:val="28"/>
        </w:rPr>
        <w:t>Профибокс</w:t>
      </w:r>
      <w:proofErr w:type="spellEnd"/>
      <w:r>
        <w:rPr>
          <w:rFonts w:ascii="Times New Roman" w:eastAsia="Times New Roman" w:hAnsi="Times New Roman" w:cs="Times New Roman"/>
          <w:color w:val="00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i/>
          <w:color w:val="000000"/>
          <w:sz w:val="28"/>
          <w:szCs w:val="28"/>
        </w:rPr>
        <w:t>Субсидии на выполнение государственного (муниципального) задания: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счету 4.101000 "Основные средства" произошло незначительное уменьшение стоимости имущества в сравнении с 2022 г. Показатель на 01.01.2024 г. составляет 673 447 382,25 рублей при показателе на начало года 673 659 888,40 рублей. </w:t>
      </w:r>
    </w:p>
    <w:p w:rsidR="00536A77" w:rsidRDefault="00DE39C7">
      <w:pPr>
        <w:keepNext/>
        <w:spacing w:line="276" w:lineRule="auto"/>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-по счету 4.105000 "Материальные запасы"  произошло увеличение стоимости материальных запасов  в сравнении с 2022 г. Показатель на 01.01.2024 года составляет 22 833 501,05 рублей при показателе на начало года 18 314 506,50 рублей.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i/>
          <w:color w:val="000000"/>
          <w:sz w:val="28"/>
          <w:szCs w:val="28"/>
        </w:rPr>
        <w:t>Субсидии на иные цели:</w:t>
      </w:r>
    </w:p>
    <w:p w:rsidR="00536A77" w:rsidRDefault="00DE39C7">
      <w:pPr>
        <w:keepNext/>
        <w:spacing w:line="276" w:lineRule="auto"/>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-по счету 5.105000 "Материальные запасы"  произошло незначительное уменьшение  стоимости материальных запасов  в сравнении с 2022 г. Показатель на 01.01.2024 г. составляет 1 054 514,37 рублей при показателе на начало года 1 131 442,63 рублей.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Остатки денежных средств на лицевых счетах составляют – 10 117 393,75</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руб</w:t>
      </w:r>
      <w:r>
        <w:rPr>
          <w:rFonts w:ascii="Times New Roman" w:eastAsia="Times New Roman" w:hAnsi="Times New Roman" w:cs="Times New Roman"/>
          <w:color w:val="000000"/>
          <w:sz w:val="28"/>
          <w:szCs w:val="28"/>
        </w:rPr>
        <w:t>. в том числе: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 субсидии на выполнение государственного задания - 0,00 рублей.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субсидии на иные цели - 0,00 рублей.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xml:space="preserve">- по средствам во временном распоряжении – 169 729,98 рублей.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 приносящей доход деятельности – 9 947 663,77 рублей.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Расшифровка показателей, отраженных</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в Справке по заключению учреждением счетов бухгалтерского учета отчетного финансового года (ф. 0503710) (справочно)</w:t>
      </w: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621"/>
        <w:gridCol w:w="2767"/>
        <w:gridCol w:w="1269"/>
        <w:gridCol w:w="2061"/>
        <w:gridCol w:w="2758"/>
      </w:tblGrid>
      <w:tr w:rsidR="00536A77">
        <w:trPr>
          <w:trHeight w:val="315"/>
        </w:trPr>
        <w:tc>
          <w:tcPr>
            <w:tcW w:w="43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Учреждение</w:t>
            </w:r>
          </w:p>
        </w:tc>
        <w:tc>
          <w:tcPr>
            <w:tcW w:w="55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КГА ПОУ ГАСКК МЦК</w:t>
            </w:r>
          </w:p>
        </w:tc>
      </w:tr>
      <w:tr w:rsidR="00536A77">
        <w:trPr>
          <w:trHeight w:val="615"/>
        </w:trPr>
        <w:tc>
          <w:tcPr>
            <w:tcW w:w="4388"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Наименование органа, осуществляющего полномочия учредителя</w:t>
            </w:r>
          </w:p>
        </w:tc>
        <w:tc>
          <w:tcPr>
            <w:tcW w:w="5518"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Министерство образования и науки Хабаровского края</w:t>
            </w:r>
          </w:p>
        </w:tc>
      </w:tr>
      <w:tr w:rsidR="00536A77">
        <w:trPr>
          <w:trHeight w:val="58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Номер (код) строки</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center"/>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Наименование показателя</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both"/>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КОСГУ</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b/>
                <w:color w:val="000000"/>
                <w:sz w:val="28"/>
                <w:szCs w:val="28"/>
              </w:rPr>
              <w:t>Сумма</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40"/>
              <w:jc w:val="center"/>
              <w:rPr>
                <w:rFonts w:ascii="Times New Roman" w:eastAsia="Times New Roman" w:hAnsi="Times New Roman" w:cs="Times New Roman"/>
                <w:sz w:val="24"/>
              </w:rPr>
            </w:pPr>
            <w:r>
              <w:rPr>
                <w:rFonts w:ascii="Times New Roman" w:eastAsia="Times New Roman" w:hAnsi="Times New Roman" w:cs="Times New Roman"/>
                <w:b/>
                <w:color w:val="000000"/>
                <w:sz w:val="28"/>
                <w:szCs w:val="28"/>
              </w:rPr>
              <w:t>Пояснения</w:t>
            </w:r>
          </w:p>
        </w:tc>
      </w:tr>
      <w:tr w:rsidR="00536A77">
        <w:trPr>
          <w:trHeight w:val="30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1</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2</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4</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5</w:t>
            </w:r>
          </w:p>
        </w:tc>
      </w:tr>
      <w:tr w:rsidR="00536A77">
        <w:trPr>
          <w:trHeight w:val="63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11</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Чрезвычайные доходы от операций с активами, всего:</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173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31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том числе:</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63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111</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чрезвычайные доходы от операций с нефинансовыми активами</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173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r>
      <w:tr w:rsidR="00536A77">
        <w:trPr>
          <w:trHeight w:val="63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112</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корреспонденции со счетами 2ХХ.ХХ?, за исключением счета 207.ХХ</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173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r>
      <w:tr w:rsidR="00536A77">
        <w:trPr>
          <w:trHeight w:val="31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113</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корреспонденции со счетами 207.ХХ</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173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454"/>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114</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иное</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173</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r>
      <w:tr w:rsidR="00536A77">
        <w:trPr>
          <w:trHeight w:val="63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12</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Безвозмездные </w:t>
            </w:r>
            <w:proofErr w:type="spellStart"/>
            <w:r>
              <w:rPr>
                <w:rFonts w:ascii="Times New Roman" w:eastAsia="Times New Roman" w:hAnsi="Times New Roman" w:cs="Times New Roman"/>
                <w:color w:val="000000"/>
                <w:sz w:val="28"/>
                <w:szCs w:val="28"/>
              </w:rPr>
              <w:t>неденежные</w:t>
            </w:r>
            <w:proofErr w:type="spellEnd"/>
            <w:r>
              <w:rPr>
                <w:rFonts w:ascii="Times New Roman" w:eastAsia="Times New Roman" w:hAnsi="Times New Roman" w:cs="Times New Roman"/>
                <w:color w:val="000000"/>
                <w:sz w:val="28"/>
                <w:szCs w:val="28"/>
              </w:rPr>
              <w:t xml:space="preserve"> поступления в сектор государственного управления, всего:</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190</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right="-100" w:firstLine="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814198,36</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31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том числе:</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94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121</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оприходовано неучтенных объектов (восстановлено в учете) нефинансовых активов</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199</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r>
      <w:tr w:rsidR="00536A77">
        <w:trPr>
          <w:trHeight w:val="94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122</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оприходовано неучтенных объектов (восстановлено в учете) финансовых активов</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199</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w:t>
            </w:r>
          </w:p>
        </w:tc>
      </w:tr>
      <w:tr w:rsidR="00536A77">
        <w:trPr>
          <w:trHeight w:val="630"/>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123</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отражено изменение кадастровой стоимости имущества</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199</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right="-100"/>
              <w:jc w:val="cente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cente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tc>
      </w:tr>
      <w:tr w:rsidR="00536A77">
        <w:trPr>
          <w:trHeight w:val="283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124</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отражено безвозмездное получение имущества от субъектов, не являющихся публично-правовыми образованиями, государственными органами, органами местного самоуправления, </w:t>
            </w:r>
            <w:r>
              <w:rPr>
                <w:rFonts w:ascii="Times New Roman" w:eastAsia="Times New Roman" w:hAnsi="Times New Roman" w:cs="Times New Roman"/>
                <w:color w:val="000000"/>
                <w:sz w:val="28"/>
                <w:szCs w:val="28"/>
              </w:rPr>
              <w:lastRenderedPageBreak/>
              <w:t>государственными (муниципальными) учреждениями</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19Х</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76396,00</w:t>
            </w:r>
          </w:p>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Безвозмездное получение основных средств в сумме 76 396,00 рублей</w:t>
            </w:r>
          </w:p>
        </w:tc>
      </w:tr>
      <w:tr w:rsidR="00536A77">
        <w:trPr>
          <w:trHeight w:val="315"/>
        </w:trPr>
        <w:tc>
          <w:tcPr>
            <w:tcW w:w="16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125</w:t>
            </w:r>
          </w:p>
        </w:tc>
        <w:tc>
          <w:tcPr>
            <w:tcW w:w="2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иное</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12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19X</w:t>
            </w:r>
          </w:p>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1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0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737 802,36</w:t>
            </w:r>
          </w:p>
          <w:p w:rsidR="00536A77" w:rsidRDefault="00DE39C7">
            <w:pPr>
              <w:ind w:left="-100" w:hanging="8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tc>
        <w:tc>
          <w:tcPr>
            <w:tcW w:w="2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36A77" w:rsidRDefault="00DE39C7">
            <w:pPr>
              <w:ind w:left="-1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Безвозмездное получение основных средств от КГАОУ ДПО ХК ИРО в сумме 55260,00 руб., материальных запасов в сумме 9836,16 руб., от КГБ ПОУ КСМТ  материальных запасов  в сумме 672706,20 руб.</w:t>
            </w:r>
          </w:p>
        </w:tc>
      </w:tr>
    </w:tbl>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rPr>
        <w:br/>
      </w: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В 2023г. безвозмездно получены материальные ценности в сумме 814 198,36 рублей в том числе: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основные средства (паяльник молотковый, </w:t>
      </w:r>
      <w:proofErr w:type="spellStart"/>
      <w:r>
        <w:rPr>
          <w:rFonts w:ascii="Times New Roman" w:eastAsia="Times New Roman" w:hAnsi="Times New Roman" w:cs="Times New Roman"/>
          <w:color w:val="000000"/>
          <w:sz w:val="28"/>
          <w:szCs w:val="28"/>
        </w:rPr>
        <w:t>углошлифовальная</w:t>
      </w:r>
      <w:proofErr w:type="spellEnd"/>
      <w:r>
        <w:rPr>
          <w:rFonts w:ascii="Times New Roman" w:eastAsia="Times New Roman" w:hAnsi="Times New Roman" w:cs="Times New Roman"/>
          <w:color w:val="000000"/>
          <w:sz w:val="28"/>
          <w:szCs w:val="28"/>
        </w:rPr>
        <w:t xml:space="preserve"> машинка, телевизор, электрическая плита) – 131 656,00 рублей (КГАОУ ДПО ХК ИРО - КОСГУ 195, ИП Смирнов А.В. – КОСГУ 196);</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материальные запасы - (учебно-методический комплекс «</w:t>
      </w:r>
      <w:proofErr w:type="spellStart"/>
      <w:r>
        <w:rPr>
          <w:rFonts w:ascii="Times New Roman" w:eastAsia="Times New Roman" w:hAnsi="Times New Roman" w:cs="Times New Roman"/>
          <w:color w:val="000000"/>
          <w:sz w:val="28"/>
          <w:szCs w:val="28"/>
        </w:rPr>
        <w:t>Профибокс</w:t>
      </w:r>
      <w:proofErr w:type="spellEnd"/>
      <w:r>
        <w:rPr>
          <w:rFonts w:ascii="Times New Roman" w:eastAsia="Times New Roman" w:hAnsi="Times New Roman" w:cs="Times New Roman"/>
          <w:color w:val="000000"/>
          <w:sz w:val="28"/>
          <w:szCs w:val="28"/>
        </w:rPr>
        <w:t xml:space="preserve">», пластина, </w:t>
      </w:r>
      <w:proofErr w:type="spellStart"/>
      <w:r>
        <w:rPr>
          <w:rFonts w:ascii="Times New Roman" w:eastAsia="Times New Roman" w:hAnsi="Times New Roman" w:cs="Times New Roman"/>
          <w:color w:val="000000"/>
          <w:sz w:val="28"/>
          <w:szCs w:val="28"/>
        </w:rPr>
        <w:t>резьбофреза</w:t>
      </w:r>
      <w:proofErr w:type="spellEnd"/>
      <w:r>
        <w:rPr>
          <w:rFonts w:ascii="Times New Roman" w:eastAsia="Times New Roman" w:hAnsi="Times New Roman" w:cs="Times New Roman"/>
          <w:color w:val="000000"/>
          <w:sz w:val="28"/>
          <w:szCs w:val="28"/>
        </w:rPr>
        <w:t>, сверло, державка) – 692 542,36 рублей (КГАОУ ДПО ХК ИРО, КГБ ПОУ КСМТ - КОСГУ 191).</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8"/>
          <w:szCs w:val="28"/>
        </w:rPr>
        <w:t>РАЗДЕЛ 5 «ПРОЧИЕ ВОПРОСЫ ДЕЯТЕЛЬНОСТИ УЧРЕЖДЕНИЯ»</w:t>
      </w:r>
    </w:p>
    <w:p w:rsidR="00536A77" w:rsidRDefault="00DE39C7">
      <w:pPr>
        <w:ind w:left="-100" w:firstLine="900"/>
        <w:jc w:val="center"/>
        <w:rPr>
          <w:rFonts w:ascii="Times New Roman" w:eastAsia="Times New Roman" w:hAnsi="Times New Roman" w:cs="Times New Roman"/>
          <w:sz w:val="24"/>
        </w:rPr>
      </w:pPr>
      <w:r>
        <w:rPr>
          <w:rFonts w:ascii="Times New Roman" w:eastAsia="Times New Roman" w:hAnsi="Times New Roman" w:cs="Times New Roman"/>
          <w:color w:val="000000"/>
          <w:sz w:val="24"/>
          <w:szCs w:val="24"/>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По причине отсутствия числовых значений показателей в состав бухгалтерской отчетности не включены следующие формы:</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Ф.0503725 «Справка по консолидируемым расчетам учреждения»;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Ф.0503771 «Сведения о финансовых вложениях учреждения»;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Ф.0503772 «Сведения о суммах заимствований»;</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Ф.0503790 «Сведения о вложениях в объекты недвижимого имущества, об объектах незавершенного строительства бюджетного (автономного) учреждения»;</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Таблица 6 "Сведения о проведении инвентаризации";</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Таблица 9 "Анализ отчета об исполнении учреждением плана его деятельности"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Таблица 11 «Причины увеличения просроченной задолженности».</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В целях подтверждения показателей годовой бухгалтерской  отчетности с 08.11.2023 г. по 31.12.2023 г. (приказ от 01.11.2023 № 294-ОД) проведена инвентаризация. По результатам  инвентаризации излишков и недостач не обнаружено.</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За 2023 г. исполнение судебных решений по денежным обязательствам учреждения составило в размере 50 000 рублей (постановление по делу об административном правонарушении № 5-489/23-37 от 09.11.2023). Отделом надзорной деятельности и профилактической работы по г. Комсомольску-на-Амуре Главного управления МЧС России по Хабаровскому краю установлено нарушение: не выполнены установленные федеральными законами и иными нормативными правовыми актами Российской Федерации специальные условия (правила) эксплуатации технических систем управления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(оплачен 08.12.2023г).</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Бухгалтерский учет в Колледже представляет собой формирование документированной систематизированной информации об объектах, предусмотренных Законом № 402-ФЗ, в соответствии с требованиями Закона № 402-ФЗ, исходя из нормативных правовых актов, регулирующих ведение бухгалтерского учета и бухгалтерской (финансовой) отчетности и  составление на ее основе бухгалтерской (финансовой) отчетности.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Нормативными документами, используемыми при организации бухгалтерского учета, являются:</w:t>
      </w:r>
    </w:p>
    <w:p w:rsidR="00536A77" w:rsidRDefault="00DE39C7">
      <w:pPr>
        <w:ind w:left="-100" w:firstLine="3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Гражданский кодекс Российской Федерации;</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Бюджетный кодекс Российской Федерации;</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xml:space="preserve">- Федеральный </w:t>
      </w:r>
      <w:hyperlink r:id="rId6">
        <w:r>
          <w:rPr>
            <w:rStyle w:val="a4"/>
            <w:rFonts w:ascii="Calibri" w:eastAsia="Calibri" w:hAnsi="Calibri" w:cs="Calibri"/>
            <w:color w:val="000000"/>
            <w:sz w:val="28"/>
            <w:szCs w:val="28"/>
            <w:u w:val="none"/>
          </w:rPr>
          <w:t>закон</w:t>
        </w:r>
      </w:hyperlink>
      <w:r>
        <w:rPr>
          <w:rFonts w:ascii="Times New Roman" w:eastAsia="Times New Roman" w:hAnsi="Times New Roman" w:cs="Times New Roman"/>
          <w:color w:val="000000"/>
          <w:sz w:val="28"/>
          <w:szCs w:val="28"/>
        </w:rPr>
        <w:t xml:space="preserve"> от 22.05.2003 № 54-ФЗ «О применении контрольно-кассовой техники при осуществлении наличных денежных расчетов и (или) расчетов с использованием электронных средств платежа»;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Федеральный закон от 06.12.2011 № 402-ФЗ «О бухгалтерском учете» (в ред. от 26.07.2019 № 247-ФЗ, от 02.07.2021 № 352-ФЗ);</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Федеральный закон от 12.01.1996 № 7-ФЗ «О некоммерческих организациях»;</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Федеральный закон от 03.11.2006 № 174-ФЗ «Об автономных учреждениях»</w:t>
      </w:r>
      <w:r>
        <w:rPr>
          <w:rFonts w:ascii="Times New Roman" w:eastAsia="Times New Roman" w:hAnsi="Times New Roman" w:cs="Times New Roman"/>
          <w:i/>
          <w:color w:val="000000"/>
          <w:sz w:val="28"/>
          <w:szCs w:val="28"/>
        </w:rPr>
        <w:t xml:space="preserve">; </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Федеральный </w:t>
      </w:r>
      <w:hyperlink r:id="rId7">
        <w:r>
          <w:rPr>
            <w:rStyle w:val="a4"/>
            <w:rFonts w:ascii="Calibri" w:eastAsia="Calibri" w:hAnsi="Calibri" w:cs="Calibri"/>
            <w:color w:val="000000"/>
            <w:sz w:val="28"/>
            <w:szCs w:val="28"/>
            <w:u w:val="none"/>
          </w:rPr>
          <w:t>закон</w:t>
        </w:r>
      </w:hyperlink>
      <w:r>
        <w:rPr>
          <w:rFonts w:ascii="Times New Roman" w:eastAsia="Times New Roman" w:hAnsi="Times New Roman" w:cs="Times New Roman"/>
          <w:color w:val="000000"/>
          <w:sz w:val="28"/>
          <w:szCs w:val="28"/>
        </w:rPr>
        <w:t xml:space="preserve"> от 05.04.2013 № 44-ФЗ «О контрактной системе в сфере закупок товаров, работ, услуг для обеспечения государственных и муниципальных нужд» (при получении субсидии на капитальные вложения)</w:t>
      </w:r>
      <w:r>
        <w:rPr>
          <w:rFonts w:ascii="Times New Roman" w:eastAsia="Times New Roman" w:hAnsi="Times New Roman" w:cs="Times New Roman"/>
          <w:i/>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Федеральный закон от 18.11.2011 №223-ФЗ «О закупках товаров, работ, услуг отдельными видами юридических лиц»</w:t>
      </w:r>
      <w:r>
        <w:rPr>
          <w:rFonts w:ascii="Times New Roman" w:eastAsia="Times New Roman" w:hAnsi="Times New Roman" w:cs="Times New Roman"/>
          <w:i/>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Федеральный закон от 06.04.2011 №63-ФЗ «Об электронной подписи» (в ред. от  27.12.2019 </w:t>
      </w:r>
      <w:hyperlink r:id="rId8">
        <w:r>
          <w:rPr>
            <w:rStyle w:val="a4"/>
            <w:rFonts w:ascii="Calibri" w:eastAsia="Calibri" w:hAnsi="Calibri" w:cs="Calibri"/>
            <w:color w:val="000000"/>
            <w:sz w:val="28"/>
            <w:szCs w:val="28"/>
            <w:u w:val="none"/>
          </w:rPr>
          <w:t>№ 476-ФЗ</w:t>
        </w:r>
      </w:hyperlink>
      <w:r>
        <w:rPr>
          <w:rFonts w:ascii="Times New Roman" w:eastAsia="Times New Roman" w:hAnsi="Times New Roman" w:cs="Times New Roman"/>
          <w:color w:val="000000"/>
          <w:sz w:val="28"/>
          <w:szCs w:val="28"/>
        </w:rPr>
        <w:t xml:space="preserve">, от 08.06.2020 </w:t>
      </w:r>
      <w:hyperlink r:id="rId9">
        <w:r>
          <w:rPr>
            <w:rStyle w:val="a4"/>
            <w:rFonts w:ascii="Calibri" w:eastAsia="Calibri" w:hAnsi="Calibri" w:cs="Calibri"/>
            <w:color w:val="000000"/>
            <w:sz w:val="28"/>
            <w:szCs w:val="28"/>
            <w:u w:val="none"/>
          </w:rPr>
          <w:t>№ 181-ФЗ</w:t>
        </w:r>
      </w:hyperlink>
      <w:r>
        <w:rPr>
          <w:rFonts w:ascii="Times New Roman" w:eastAsia="Times New Roman" w:hAnsi="Times New Roman" w:cs="Times New Roman"/>
          <w:color w:val="000000"/>
          <w:sz w:val="28"/>
          <w:szCs w:val="28"/>
        </w:rPr>
        <w:t xml:space="preserve">, от 24.02.2021 </w:t>
      </w:r>
      <w:hyperlink r:id="rId10">
        <w:r>
          <w:rPr>
            <w:rStyle w:val="a4"/>
            <w:rFonts w:ascii="Calibri" w:eastAsia="Calibri" w:hAnsi="Calibri" w:cs="Calibri"/>
            <w:color w:val="000000"/>
            <w:sz w:val="28"/>
            <w:szCs w:val="28"/>
            <w:u w:val="none"/>
          </w:rPr>
          <w:t>№ 20-ФЗ</w:t>
        </w:r>
      </w:hyperlink>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ГОСТ </w:t>
      </w:r>
      <w:hyperlink r:id="rId11">
        <w:r>
          <w:rPr>
            <w:rStyle w:val="a4"/>
            <w:rFonts w:ascii="Calibri" w:eastAsia="Calibri" w:hAnsi="Calibri" w:cs="Calibri"/>
            <w:color w:val="000000"/>
            <w:sz w:val="28"/>
            <w:szCs w:val="28"/>
            <w:u w:val="none"/>
          </w:rPr>
          <w:t>Р</w:t>
        </w:r>
      </w:hyperlink>
      <w:r>
        <w:rPr>
          <w:rFonts w:ascii="Times New Roman" w:eastAsia="Times New Roman" w:hAnsi="Times New Roman" w:cs="Times New Roman"/>
          <w:color w:val="000000"/>
          <w:sz w:val="28"/>
          <w:szCs w:val="28"/>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ГОСТ Р 7.0.97 – 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(применяется с 01.07.2017);</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«ОК 013-2014 (СНС 2008). Общероссийский классификатор основных фондов» (принят и введен в действие Приказом </w:t>
      </w:r>
      <w:proofErr w:type="spellStart"/>
      <w:r>
        <w:rPr>
          <w:rFonts w:ascii="Times New Roman" w:eastAsia="Times New Roman" w:hAnsi="Times New Roman" w:cs="Times New Roman"/>
          <w:color w:val="000000"/>
          <w:sz w:val="28"/>
          <w:szCs w:val="28"/>
        </w:rPr>
        <w:t>Росстандарта</w:t>
      </w:r>
      <w:proofErr w:type="spellEnd"/>
      <w:r>
        <w:rPr>
          <w:rFonts w:ascii="Times New Roman" w:eastAsia="Times New Roman" w:hAnsi="Times New Roman" w:cs="Times New Roman"/>
          <w:color w:val="000000"/>
          <w:sz w:val="28"/>
          <w:szCs w:val="28"/>
        </w:rPr>
        <w:t xml:space="preserve"> от 12.12.2014 № 2018-ст);</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31.12.2016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(в ред. от 10.06.2019 № 94н, от 30.06.2020 № 130н) (далее – СГС «Концептуальные основы»);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 Приказ Минфина РФ от 31.03.2016 № 257н «Об утверждении федерального стандарта бухгалтерского учета для организаций государственного сектора «Основные средства» </w:t>
      </w:r>
      <w:bookmarkStart w:id="5" w:name="_Hlk39305223"/>
      <w:r>
        <w:rPr>
          <w:rFonts w:ascii="Times New Roman" w:eastAsia="Times New Roman" w:hAnsi="Times New Roman" w:cs="Times New Roman"/>
          <w:color w:val="000000"/>
          <w:sz w:val="28"/>
          <w:szCs w:val="28"/>
        </w:rPr>
        <w:t>(в ред. от 25.12.2019 № 253н)</w:t>
      </w:r>
      <w:bookmarkEnd w:id="5"/>
      <w:r>
        <w:rPr>
          <w:rFonts w:ascii="Times New Roman" w:eastAsia="Times New Roman" w:hAnsi="Times New Roman" w:cs="Times New Roman"/>
          <w:color w:val="000000"/>
          <w:sz w:val="28"/>
          <w:szCs w:val="28"/>
        </w:rPr>
        <w:t xml:space="preserve"> (далее – СГС «Основные средства»);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xml:space="preserve">- Приказ Минфина РФ от 31.03.2016 № 258н «Об утверждении федерального стандарта бухгалтерского учета для организаций государственного сектора «Аренда» </w:t>
      </w:r>
      <w:bookmarkStart w:id="6" w:name="_Hlk39305252"/>
      <w:r>
        <w:rPr>
          <w:rFonts w:ascii="Times New Roman" w:eastAsia="Times New Roman" w:hAnsi="Times New Roman" w:cs="Times New Roman"/>
          <w:color w:val="000000"/>
          <w:sz w:val="28"/>
          <w:szCs w:val="28"/>
        </w:rPr>
        <w:t xml:space="preserve">(в ред. от 25.12.2019 № 254н) </w:t>
      </w:r>
      <w:bookmarkEnd w:id="6"/>
      <w:r>
        <w:rPr>
          <w:rFonts w:ascii="Times New Roman" w:eastAsia="Times New Roman" w:hAnsi="Times New Roman" w:cs="Times New Roman"/>
          <w:color w:val="000000"/>
          <w:sz w:val="28"/>
          <w:szCs w:val="28"/>
        </w:rPr>
        <w:t>(далее – СГС «Аренда»);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31.03.2016 № 259н «Об утверждении федерального стандарта бухгалтерского учета для организаций государственного сектора «Обесценение активов» </w:t>
      </w:r>
      <w:bookmarkStart w:id="7" w:name="_Hlk39305266"/>
      <w:r>
        <w:rPr>
          <w:rFonts w:ascii="Times New Roman" w:eastAsia="Times New Roman" w:hAnsi="Times New Roman" w:cs="Times New Roman"/>
          <w:color w:val="000000"/>
          <w:sz w:val="28"/>
          <w:szCs w:val="28"/>
        </w:rPr>
        <w:t xml:space="preserve">(в ред. от 13.12.2019 № 229н) </w:t>
      </w:r>
      <w:bookmarkEnd w:id="7"/>
      <w:r>
        <w:rPr>
          <w:rFonts w:ascii="Times New Roman" w:eastAsia="Times New Roman" w:hAnsi="Times New Roman" w:cs="Times New Roman"/>
          <w:color w:val="000000"/>
          <w:sz w:val="28"/>
          <w:szCs w:val="28"/>
        </w:rPr>
        <w:t>(далее – СГС «Обесценение активов»);</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31.03.2016 № 260н «Об утверждении федерального стандарта бухгалтерского учета для организаций государственного сектора «Предоставление бухгалтерской (финансовой) отчетности» </w:t>
      </w:r>
      <w:bookmarkStart w:id="8" w:name="_Hlk39305658"/>
      <w:r>
        <w:rPr>
          <w:rFonts w:ascii="Times New Roman" w:eastAsia="Times New Roman" w:hAnsi="Times New Roman" w:cs="Times New Roman"/>
          <w:color w:val="000000"/>
          <w:sz w:val="28"/>
          <w:szCs w:val="28"/>
        </w:rPr>
        <w:t>(в ред. от 10.06.2019 № 93н, 13.12.2019 № 231н)</w:t>
      </w:r>
      <w:bookmarkEnd w:id="8"/>
      <w:r>
        <w:rPr>
          <w:rFonts w:ascii="Times New Roman" w:eastAsia="Times New Roman" w:hAnsi="Times New Roman" w:cs="Times New Roman"/>
          <w:color w:val="000000"/>
          <w:sz w:val="28"/>
          <w:szCs w:val="28"/>
        </w:rPr>
        <w:t xml:space="preserve"> (далее – СГС «Предоставление бухгалтерской (финансовой) отчетности»);</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27.02.2018 № 32н «Об утверждении федерального стандарта бухгалтерского учета для организаций государственного сектора «Доходы» </w:t>
      </w:r>
      <w:bookmarkStart w:id="9" w:name="_Hlk39305672"/>
      <w:r>
        <w:rPr>
          <w:rFonts w:ascii="Times New Roman" w:eastAsia="Times New Roman" w:hAnsi="Times New Roman" w:cs="Times New Roman"/>
          <w:color w:val="000000"/>
          <w:sz w:val="28"/>
          <w:szCs w:val="28"/>
        </w:rPr>
        <w:t xml:space="preserve">(в ред. от 16.12.2019 № 236н) </w:t>
      </w:r>
      <w:bookmarkEnd w:id="9"/>
      <w:r>
        <w:rPr>
          <w:rFonts w:ascii="Times New Roman" w:eastAsia="Times New Roman" w:hAnsi="Times New Roman" w:cs="Times New Roman"/>
          <w:color w:val="000000"/>
          <w:sz w:val="28"/>
          <w:szCs w:val="28"/>
        </w:rPr>
        <w:t>(далее – СГС «Доходы»);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30.12.2017 № 275н «Об утверждении федерального стандарта бухгалтерского учета для организаций государственного сектора «События после отчетной даты» </w:t>
      </w:r>
      <w:bookmarkStart w:id="10" w:name="_Hlk39305706"/>
      <w:r>
        <w:rPr>
          <w:rFonts w:ascii="Times New Roman" w:eastAsia="Times New Roman" w:hAnsi="Times New Roman" w:cs="Times New Roman"/>
          <w:color w:val="000000"/>
          <w:sz w:val="28"/>
          <w:szCs w:val="28"/>
        </w:rPr>
        <w:t>(в ред. от 19.12.2019 № 240н) (далее – СГС «События после отчетной даты»);</w:t>
      </w:r>
      <w:bookmarkEnd w:id="10"/>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ошибки» </w:t>
      </w:r>
      <w:bookmarkStart w:id="11" w:name="_Hlk39305736"/>
      <w:r>
        <w:rPr>
          <w:rFonts w:ascii="Times New Roman" w:eastAsia="Times New Roman" w:hAnsi="Times New Roman" w:cs="Times New Roman"/>
          <w:color w:val="000000"/>
          <w:sz w:val="28"/>
          <w:szCs w:val="28"/>
        </w:rPr>
        <w:t>(в ред. от 19.12.2019 № 243н, от 30.09.2021 № 143н) (далее – СГС «Учетная политика, оценочные значения и ошибки»)</w:t>
      </w:r>
      <w:bookmarkEnd w:id="11"/>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30.12.2017 № 278н «Об утверждении федерального стандарта бухгалтерского учета для организаций государственного сектора «Отчет о движении денежных средств» </w:t>
      </w:r>
      <w:bookmarkStart w:id="12" w:name="_Hlk39305749"/>
      <w:r>
        <w:rPr>
          <w:rFonts w:ascii="Times New Roman" w:eastAsia="Times New Roman" w:hAnsi="Times New Roman" w:cs="Times New Roman"/>
          <w:color w:val="000000"/>
          <w:sz w:val="28"/>
          <w:szCs w:val="28"/>
        </w:rPr>
        <w:t>(в ред. от 13.12.2019 № 230н) (далее – СГС «Отчет о движении денежных средств»);</w:t>
      </w:r>
      <w:bookmarkEnd w:id="12"/>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30.05.2018 № 122н «Влияние изменений курсов иностранных валют» </w:t>
      </w:r>
      <w:bookmarkStart w:id="13" w:name="_Hlk39305763"/>
      <w:r>
        <w:rPr>
          <w:rFonts w:ascii="Times New Roman" w:eastAsia="Times New Roman" w:hAnsi="Times New Roman" w:cs="Times New Roman"/>
          <w:color w:val="000000"/>
          <w:sz w:val="28"/>
          <w:szCs w:val="28"/>
        </w:rPr>
        <w:t>(в ред. от 10.12.2019 № 220н) (далее – СГС «Влияние изменений курсов иностранных валют»);</w:t>
      </w:r>
      <w:bookmarkEnd w:id="13"/>
    </w:p>
    <w:p w:rsidR="00536A77" w:rsidRDefault="00DE39C7">
      <w:pPr>
        <w:ind w:firstLine="260"/>
        <w:jc w:val="both"/>
        <w:rPr>
          <w:rFonts w:ascii="Times New Roman" w:eastAsia="Times New Roman" w:hAnsi="Times New Roman" w:cs="Times New Roman"/>
          <w:sz w:val="24"/>
        </w:rPr>
      </w:pPr>
      <w:bookmarkStart w:id="14" w:name="_Hlk39305785"/>
      <w:r>
        <w:rPr>
          <w:rFonts w:ascii="Times New Roman" w:eastAsia="Times New Roman" w:hAnsi="Times New Roman" w:cs="Times New Roman"/>
          <w:color w:val="000000"/>
          <w:sz w:val="28"/>
          <w:szCs w:val="28"/>
        </w:rPr>
        <w:t>- Приказ Минфина РФ от 07.12.2018 № 256н «Об утверждении федерального стандарта бухгалтерского учета для организации государственного сектора «Запасы» (в ред. от 19.12.2019 № 241н);</w:t>
      </w:r>
      <w:bookmarkEnd w:id="14"/>
    </w:p>
    <w:p w:rsidR="00536A77" w:rsidRDefault="00DE39C7">
      <w:pPr>
        <w:ind w:firstLine="260"/>
        <w:jc w:val="both"/>
        <w:rPr>
          <w:rFonts w:ascii="Times New Roman" w:eastAsia="Times New Roman" w:hAnsi="Times New Roman" w:cs="Times New Roman"/>
          <w:sz w:val="24"/>
        </w:rPr>
      </w:pPr>
      <w:bookmarkStart w:id="15" w:name="_Hlk39305812"/>
      <w:r>
        <w:rPr>
          <w:rFonts w:ascii="Times New Roman" w:eastAsia="Times New Roman" w:hAnsi="Times New Roman" w:cs="Times New Roman"/>
          <w:color w:val="000000"/>
          <w:sz w:val="28"/>
          <w:szCs w:val="28"/>
        </w:rPr>
        <w:t>- Приказ Минфина РФ от 29.06.2018 № 145н «Об утверждении федерального стандарта бухгалтерского учета для организаций государственного сектора «Долгосрочные договоры» (в ред. от 16.12.2019 № 235н) (далее – СГС «Долгосрочные договоры»);</w:t>
      </w:r>
      <w:bookmarkEnd w:id="15"/>
    </w:p>
    <w:p w:rsidR="00536A77" w:rsidRDefault="00DE39C7">
      <w:pPr>
        <w:ind w:firstLine="260"/>
        <w:jc w:val="both"/>
        <w:rPr>
          <w:rFonts w:ascii="Times New Roman" w:eastAsia="Times New Roman" w:hAnsi="Times New Roman" w:cs="Times New Roman"/>
          <w:sz w:val="24"/>
        </w:rPr>
      </w:pPr>
      <w:bookmarkStart w:id="16" w:name="_Hlk39305841"/>
      <w:r>
        <w:rPr>
          <w:rFonts w:ascii="Times New Roman" w:eastAsia="Times New Roman" w:hAnsi="Times New Roman" w:cs="Times New Roman"/>
          <w:color w:val="000000"/>
          <w:sz w:val="28"/>
          <w:szCs w:val="28"/>
        </w:rPr>
        <w:lastRenderedPageBreak/>
        <w:t>- Приказ Минфина РФ от 30.05.2018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(в ред. от 19.12.2019 № 242н) (далее – СГС «Резервы»);</w:t>
      </w:r>
      <w:bookmarkEnd w:id="16"/>
    </w:p>
    <w:p w:rsidR="00536A77" w:rsidRDefault="00DE39C7">
      <w:pPr>
        <w:ind w:firstLine="260"/>
        <w:jc w:val="both"/>
        <w:rPr>
          <w:rFonts w:ascii="Times New Roman" w:eastAsia="Times New Roman" w:hAnsi="Times New Roman" w:cs="Times New Roman"/>
          <w:sz w:val="24"/>
        </w:rPr>
      </w:pPr>
      <w:bookmarkStart w:id="17" w:name="_Hlk39305860"/>
      <w:r>
        <w:rPr>
          <w:rFonts w:ascii="Times New Roman" w:eastAsia="Times New Roman" w:hAnsi="Times New Roman" w:cs="Times New Roman"/>
          <w:color w:val="000000"/>
          <w:sz w:val="28"/>
          <w:szCs w:val="28"/>
        </w:rPr>
        <w:t xml:space="preserve">- </w:t>
      </w:r>
      <w:bookmarkEnd w:id="17"/>
      <w:r>
        <w:rPr>
          <w:rFonts w:ascii="Times New Roman" w:eastAsia="Times New Roman" w:hAnsi="Times New Roman" w:cs="Times New Roman"/>
          <w:color w:val="000000"/>
          <w:sz w:val="28"/>
          <w:szCs w:val="28"/>
        </w:rPr>
        <w:t xml:space="preserve">Приказ Минфина РФ от 28.02.2018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 (в ред. от 25.12.2019 № 251н, </w:t>
      </w:r>
      <w:bookmarkStart w:id="18" w:name="_Hlk93765840"/>
      <w:r>
        <w:rPr>
          <w:rFonts w:ascii="Times New Roman" w:eastAsia="Times New Roman" w:hAnsi="Times New Roman" w:cs="Times New Roman"/>
          <w:color w:val="000000"/>
          <w:sz w:val="28"/>
          <w:szCs w:val="28"/>
        </w:rPr>
        <w:t>от 26.02.2021 № 29н</w:t>
      </w:r>
      <w:bookmarkEnd w:id="18"/>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bookmarkStart w:id="19" w:name="_Hlk39305901"/>
      <w:r>
        <w:rPr>
          <w:rFonts w:ascii="Times New Roman" w:eastAsia="Times New Roman" w:hAnsi="Times New Roman" w:cs="Times New Roman"/>
          <w:color w:val="000000"/>
          <w:sz w:val="28"/>
          <w:szCs w:val="28"/>
        </w:rPr>
        <w:t>- Приказ Минфина РФ от 29.06.2018 № 146н «Об утверждении федерального стандарта бухгалтерского учета для организаций государственного сектора «Концессионные соглашения» (в ред. от 10.12.2019 № 217н) (далее – СГС «Концессионные соглашения»);</w:t>
      </w:r>
      <w:bookmarkEnd w:id="19"/>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28.02.2018 № 34н «Об утверждении федерального стандарта бухгалтерского учета организаций государственного сектора «Непроизведенные активы» </w:t>
      </w:r>
      <w:bookmarkStart w:id="20" w:name="_Hlk93765872"/>
      <w:r>
        <w:rPr>
          <w:rFonts w:ascii="Times New Roman" w:eastAsia="Times New Roman" w:hAnsi="Times New Roman" w:cs="Times New Roman"/>
          <w:color w:val="000000"/>
          <w:sz w:val="28"/>
          <w:szCs w:val="28"/>
        </w:rPr>
        <w:t xml:space="preserve">(в ред. от 10.12.2019 № 218н, от 08.06.2021 № 74н) </w:t>
      </w:r>
      <w:bookmarkEnd w:id="20"/>
      <w:r>
        <w:rPr>
          <w:rFonts w:ascii="Times New Roman" w:eastAsia="Times New Roman" w:hAnsi="Times New Roman" w:cs="Times New Roman"/>
          <w:color w:val="000000"/>
          <w:sz w:val="28"/>
          <w:szCs w:val="28"/>
        </w:rPr>
        <w:t>(далее – СГС «Непроизведенные активы»);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15.11.2019 № 181н «Об утверждении федерального стандарта бухгалтерского учета организаций государственного сектора «Нематериальные активы» (далее – СГС «Нематериальные активы»);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15.11.2019 № 184н «Об утверждении федерального стандарта бухгалтерского учета организаций государственного сектора «Выплаты персоналу» (далее – СГС «Выплаты персоналу»);</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30.06.2020 № 129н «Об утверждении федерального стандарта бухгалтерского учета государственных финансов «Финансовые инструменты» (далее – СГС «Финансовые инструменты»);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16.12.2010 № 174н «Об утверждении Плана счетов бухгалтерского учета бюджетных учреждений и инструкция по его применению» (далее – Приказ № 174н) (в ред. приказов Минфина РФ от 31.12.2015 № 227н, от 16.11.2016 № 209н, от 29.11.2017 № 212н, от 31.03.2018 № 66н, от 28.12.2018 № 299н, от 30.10.2020 № 253н);</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23.12.2010 № 183н «Об утверждении Плана счетов бухгалтерского учета бюджетных учреждений и инструкция по его применению» (далее – Приказ № 183н) (в ред. приказов Минфина РФ от 31.12.2015 № 228н, от 16.11.2016 № 209н, от 19.12.2017 № 238н, от 31.03.2018 № 67н, от 28.12.2018 № 300н, от 30.10.2020 № 256н);</w:t>
      </w:r>
    </w:p>
    <w:p w:rsidR="00536A77" w:rsidRDefault="00DE39C7">
      <w:pPr>
        <w:ind w:firstLine="260"/>
        <w:jc w:val="both"/>
        <w:rPr>
          <w:rFonts w:ascii="Times New Roman" w:eastAsia="Times New Roman" w:hAnsi="Times New Roman" w:cs="Times New Roman"/>
          <w:sz w:val="24"/>
        </w:rPr>
      </w:pPr>
      <w:bookmarkStart w:id="21" w:name="_Hlk37063937"/>
      <w:r>
        <w:rPr>
          <w:rFonts w:ascii="Times New Roman" w:eastAsia="Times New Roman" w:hAnsi="Times New Roman" w:cs="Times New Roman"/>
          <w:color w:val="000000"/>
          <w:sz w:val="28"/>
          <w:szCs w:val="28"/>
        </w:rPr>
        <w:t xml:space="preserve">- Приказ Минфина РФ от 25.03.2011 № 33н «Инструкция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Приказ № 33н) (в ред. от 07.03.2018 </w:t>
      </w:r>
      <w:bookmarkEnd w:id="21"/>
      <w:r>
        <w:fldChar w:fldCharType="begin"/>
      </w:r>
      <w:r>
        <w:instrText xml:space="preserve"> HYPERLINK "consultantplus://offline/ref=7811E740A526CADB4C2957D17870BA823D703391EBE0BFB54E5FE164F18FD203171ACF681AE2270AZCZ2H" \h </w:instrText>
      </w:r>
      <w:r>
        <w:fldChar w:fldCharType="separate"/>
      </w:r>
      <w:r>
        <w:rPr>
          <w:rStyle w:val="a4"/>
          <w:rFonts w:ascii="Calibri" w:eastAsia="Calibri" w:hAnsi="Calibri" w:cs="Calibri"/>
          <w:color w:val="000000"/>
          <w:sz w:val="28"/>
          <w:szCs w:val="28"/>
          <w:u w:val="none"/>
        </w:rPr>
        <w:t>№ 42н</w:t>
      </w:r>
      <w:r>
        <w:rPr>
          <w:rStyle w:val="a4"/>
          <w:rFonts w:ascii="Calibri" w:eastAsia="Calibri" w:hAnsi="Calibri" w:cs="Calibri"/>
          <w:color w:val="000000"/>
          <w:sz w:val="28"/>
          <w:szCs w:val="28"/>
          <w:u w:val="none"/>
        </w:rPr>
        <w:fldChar w:fldCharType="end"/>
      </w:r>
      <w:r>
        <w:rPr>
          <w:rFonts w:ascii="Times New Roman" w:eastAsia="Times New Roman" w:hAnsi="Times New Roman" w:cs="Times New Roman"/>
          <w:color w:val="000000"/>
          <w:sz w:val="28"/>
          <w:szCs w:val="28"/>
        </w:rPr>
        <w:t xml:space="preserve">, от 30.11.2018 </w:t>
      </w:r>
      <w:hyperlink r:id="rId12">
        <w:r>
          <w:rPr>
            <w:rStyle w:val="a4"/>
            <w:rFonts w:ascii="Calibri" w:eastAsia="Calibri" w:hAnsi="Calibri" w:cs="Calibri"/>
            <w:color w:val="000000"/>
            <w:sz w:val="28"/>
            <w:szCs w:val="28"/>
            <w:u w:val="none"/>
          </w:rPr>
          <w:t>№ 243н</w:t>
        </w:r>
      </w:hyperlink>
      <w:r>
        <w:rPr>
          <w:rFonts w:ascii="Times New Roman" w:eastAsia="Times New Roman" w:hAnsi="Times New Roman" w:cs="Times New Roman"/>
          <w:color w:val="000000"/>
          <w:sz w:val="28"/>
          <w:szCs w:val="28"/>
        </w:rPr>
        <w:t xml:space="preserve">, от 28.02.2019 </w:t>
      </w:r>
      <w:hyperlink r:id="rId13">
        <w:r>
          <w:rPr>
            <w:rStyle w:val="a4"/>
            <w:rFonts w:ascii="Calibri" w:eastAsia="Calibri" w:hAnsi="Calibri" w:cs="Calibri"/>
            <w:color w:val="000000"/>
            <w:sz w:val="28"/>
            <w:szCs w:val="28"/>
            <w:u w:val="none"/>
          </w:rPr>
          <w:t>№ 32н</w:t>
        </w:r>
      </w:hyperlink>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lastRenderedPageBreak/>
        <w:t xml:space="preserve">от 16.05.2019 </w:t>
      </w:r>
      <w:hyperlink r:id="rId14">
        <w:r>
          <w:rPr>
            <w:rStyle w:val="a4"/>
            <w:rFonts w:ascii="Calibri" w:eastAsia="Calibri" w:hAnsi="Calibri" w:cs="Calibri"/>
            <w:color w:val="000000"/>
            <w:sz w:val="28"/>
            <w:szCs w:val="28"/>
            <w:u w:val="none"/>
          </w:rPr>
          <w:t>№ 73н</w:t>
        </w:r>
      </w:hyperlink>
      <w:r>
        <w:rPr>
          <w:rFonts w:ascii="Times New Roman" w:eastAsia="Times New Roman" w:hAnsi="Times New Roman" w:cs="Times New Roman"/>
          <w:color w:val="000000"/>
          <w:sz w:val="28"/>
          <w:szCs w:val="28"/>
        </w:rPr>
        <w:t xml:space="preserve">, от 16.10.2019 </w:t>
      </w:r>
      <w:hyperlink r:id="rId15">
        <w:r>
          <w:rPr>
            <w:rStyle w:val="a4"/>
            <w:rFonts w:ascii="Calibri" w:eastAsia="Calibri" w:hAnsi="Calibri" w:cs="Calibri"/>
            <w:color w:val="000000"/>
            <w:sz w:val="28"/>
            <w:szCs w:val="28"/>
            <w:u w:val="none"/>
          </w:rPr>
          <w:t>№ 166н</w:t>
        </w:r>
      </w:hyperlink>
      <w:r>
        <w:rPr>
          <w:rFonts w:ascii="Times New Roman" w:eastAsia="Times New Roman" w:hAnsi="Times New Roman" w:cs="Times New Roman"/>
          <w:color w:val="000000"/>
          <w:sz w:val="28"/>
          <w:szCs w:val="28"/>
        </w:rPr>
        <w:t xml:space="preserve">, от 30.01.2020 </w:t>
      </w:r>
      <w:hyperlink r:id="rId16">
        <w:r>
          <w:rPr>
            <w:rStyle w:val="a4"/>
            <w:rFonts w:ascii="Calibri" w:eastAsia="Calibri" w:hAnsi="Calibri" w:cs="Calibri"/>
            <w:color w:val="000000"/>
            <w:sz w:val="28"/>
            <w:szCs w:val="28"/>
            <w:u w:val="none"/>
          </w:rPr>
          <w:t>№ 11н</w:t>
        </w:r>
      </w:hyperlink>
      <w:r>
        <w:rPr>
          <w:rFonts w:ascii="Times New Roman" w:eastAsia="Times New Roman" w:hAnsi="Times New Roman" w:cs="Times New Roman"/>
          <w:color w:val="000000"/>
          <w:sz w:val="28"/>
          <w:szCs w:val="28"/>
        </w:rPr>
        <w:t xml:space="preserve">, от 06.04.2020 </w:t>
      </w:r>
      <w:hyperlink r:id="rId17">
        <w:r>
          <w:rPr>
            <w:rStyle w:val="a4"/>
            <w:rFonts w:ascii="Calibri" w:eastAsia="Calibri" w:hAnsi="Calibri" w:cs="Calibri"/>
            <w:color w:val="000000"/>
            <w:sz w:val="28"/>
            <w:szCs w:val="28"/>
            <w:u w:val="none"/>
          </w:rPr>
          <w:t>№ 53н</w:t>
        </w:r>
      </w:hyperlink>
      <w:r>
        <w:rPr>
          <w:rFonts w:ascii="Times New Roman" w:eastAsia="Times New Roman" w:hAnsi="Times New Roman" w:cs="Times New Roman"/>
          <w:color w:val="000000"/>
          <w:sz w:val="28"/>
          <w:szCs w:val="28"/>
        </w:rPr>
        <w:t xml:space="preserve">, от 30.06.2020 </w:t>
      </w:r>
      <w:hyperlink r:id="rId18">
        <w:r>
          <w:rPr>
            <w:rStyle w:val="a4"/>
            <w:rFonts w:ascii="Calibri" w:eastAsia="Calibri" w:hAnsi="Calibri" w:cs="Calibri"/>
            <w:color w:val="000000"/>
            <w:sz w:val="28"/>
            <w:szCs w:val="28"/>
            <w:u w:val="none"/>
          </w:rPr>
          <w:t>№ 127н</w:t>
        </w:r>
      </w:hyperlink>
      <w:r>
        <w:rPr>
          <w:rFonts w:ascii="Times New Roman" w:eastAsia="Times New Roman" w:hAnsi="Times New Roman" w:cs="Times New Roman"/>
          <w:color w:val="000000"/>
          <w:sz w:val="28"/>
          <w:szCs w:val="28"/>
        </w:rPr>
        <w:t xml:space="preserve">, от 30.11.2020 </w:t>
      </w:r>
      <w:hyperlink r:id="rId19">
        <w:r>
          <w:rPr>
            <w:rStyle w:val="a4"/>
            <w:rFonts w:ascii="Calibri" w:eastAsia="Calibri" w:hAnsi="Calibri" w:cs="Calibri"/>
            <w:color w:val="000000"/>
            <w:sz w:val="28"/>
            <w:szCs w:val="28"/>
            <w:u w:val="none"/>
          </w:rPr>
          <w:t>№ 292н</w:t>
        </w:r>
      </w:hyperlink>
      <w:r>
        <w:rPr>
          <w:rFonts w:ascii="Calibri" w:eastAsia="Calibri" w:hAnsi="Calibri" w:cs="Calibri"/>
          <w:color w:val="000000"/>
          <w:sz w:val="28"/>
          <w:szCs w:val="28"/>
        </w:rPr>
        <w:t xml:space="preserve">, </w:t>
      </w:r>
      <w:r>
        <w:rPr>
          <w:rFonts w:ascii="Times New Roman" w:eastAsia="Times New Roman" w:hAnsi="Times New Roman" w:cs="Times New Roman"/>
          <w:color w:val="000000"/>
          <w:sz w:val="28"/>
          <w:szCs w:val="28"/>
        </w:rPr>
        <w:t>от 11.06.2021 №81н,  от 02.11.2021 № 170н );</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Постановление Правительства РФ от 26.06.2015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(в ред. от 09.07.2019 </w:t>
      </w:r>
      <w:hyperlink r:id="rId20">
        <w:r>
          <w:rPr>
            <w:rStyle w:val="a4"/>
            <w:rFonts w:ascii="Calibri" w:eastAsia="Calibri" w:hAnsi="Calibri" w:cs="Calibri"/>
            <w:color w:val="000000"/>
            <w:sz w:val="28"/>
            <w:szCs w:val="28"/>
            <w:u w:val="none"/>
          </w:rPr>
          <w:t>№ 873</w:t>
        </w:r>
      </w:hyperlink>
      <w:r>
        <w:rPr>
          <w:rFonts w:ascii="Times New Roman" w:eastAsia="Times New Roman" w:hAnsi="Times New Roman" w:cs="Times New Roman"/>
          <w:color w:val="000000"/>
          <w:sz w:val="28"/>
          <w:szCs w:val="28"/>
        </w:rPr>
        <w:t xml:space="preserve">, от 31.12.2019 </w:t>
      </w:r>
      <w:hyperlink r:id="rId21">
        <w:r>
          <w:rPr>
            <w:rStyle w:val="a4"/>
            <w:rFonts w:ascii="Calibri" w:eastAsia="Calibri" w:hAnsi="Calibri" w:cs="Calibri"/>
            <w:color w:val="000000"/>
            <w:sz w:val="28"/>
            <w:szCs w:val="28"/>
            <w:u w:val="none"/>
          </w:rPr>
          <w:t>№ 1944</w:t>
        </w:r>
      </w:hyperlink>
      <w:r>
        <w:rPr>
          <w:rFonts w:ascii="Times New Roman" w:eastAsia="Times New Roman" w:hAnsi="Times New Roman" w:cs="Times New Roman"/>
          <w:color w:val="000000"/>
          <w:sz w:val="28"/>
          <w:szCs w:val="28"/>
        </w:rPr>
        <w:t xml:space="preserve">, от 17.02.2020 </w:t>
      </w:r>
      <w:hyperlink r:id="rId22">
        <w:r>
          <w:rPr>
            <w:rStyle w:val="a4"/>
            <w:rFonts w:ascii="Calibri" w:eastAsia="Calibri" w:hAnsi="Calibri" w:cs="Calibri"/>
            <w:color w:val="000000"/>
            <w:sz w:val="28"/>
            <w:szCs w:val="28"/>
            <w:u w:val="none"/>
          </w:rPr>
          <w:t>№ 161</w:t>
        </w:r>
      </w:hyperlink>
      <w:r>
        <w:rPr>
          <w:rFonts w:ascii="Times New Roman" w:eastAsia="Times New Roman" w:hAnsi="Times New Roman" w:cs="Times New Roman"/>
          <w:color w:val="000000"/>
          <w:sz w:val="28"/>
          <w:szCs w:val="28"/>
        </w:rPr>
        <w:t xml:space="preserve">, от 16.07.2020 </w:t>
      </w:r>
      <w:hyperlink r:id="rId23">
        <w:r>
          <w:rPr>
            <w:rStyle w:val="a4"/>
            <w:rFonts w:ascii="Calibri" w:eastAsia="Calibri" w:hAnsi="Calibri" w:cs="Calibri"/>
            <w:color w:val="000000"/>
            <w:sz w:val="28"/>
            <w:szCs w:val="28"/>
            <w:u w:val="none"/>
          </w:rPr>
          <w:t>№ 1052</w:t>
        </w:r>
      </w:hyperlink>
      <w:r>
        <w:rPr>
          <w:rFonts w:ascii="Times New Roman" w:eastAsia="Times New Roman" w:hAnsi="Times New Roman" w:cs="Times New Roman"/>
          <w:color w:val="000000"/>
          <w:sz w:val="28"/>
          <w:szCs w:val="28"/>
        </w:rPr>
        <w:t xml:space="preserve">, от 19.11.2020 </w:t>
      </w:r>
      <w:hyperlink r:id="rId24">
        <w:r>
          <w:rPr>
            <w:rStyle w:val="a4"/>
            <w:rFonts w:ascii="Calibri" w:eastAsia="Calibri" w:hAnsi="Calibri" w:cs="Calibri"/>
            <w:color w:val="000000"/>
            <w:sz w:val="28"/>
            <w:szCs w:val="28"/>
            <w:u w:val="none"/>
          </w:rPr>
          <w:t>№ 1890</w:t>
        </w:r>
      </w:hyperlink>
      <w:r>
        <w:rPr>
          <w:rFonts w:ascii="Times New Roman" w:eastAsia="Times New Roman" w:hAnsi="Times New Roman" w:cs="Times New Roman"/>
          <w:color w:val="000000"/>
          <w:sz w:val="28"/>
          <w:szCs w:val="28"/>
        </w:rPr>
        <w:t xml:space="preserve">, от 28.12.2020 </w:t>
      </w:r>
      <w:hyperlink r:id="rId25">
        <w:r>
          <w:rPr>
            <w:rStyle w:val="a4"/>
            <w:rFonts w:ascii="Calibri" w:eastAsia="Calibri" w:hAnsi="Calibri" w:cs="Calibri"/>
            <w:color w:val="000000"/>
            <w:sz w:val="28"/>
            <w:szCs w:val="28"/>
            <w:u w:val="none"/>
          </w:rPr>
          <w:t xml:space="preserve">№ 2313, № 2313, от 27.05.2021 № 806, от 10.12.2021 № 2255) </w:t>
        </w:r>
      </w:hyperlink>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(в ред. Приказов Минфина России от 23.09.2013 </w:t>
      </w:r>
      <w:hyperlink r:id="rId26">
        <w:r>
          <w:rPr>
            <w:rStyle w:val="a4"/>
            <w:rFonts w:ascii="Calibri" w:eastAsia="Calibri" w:hAnsi="Calibri" w:cs="Calibri"/>
            <w:color w:val="000000"/>
            <w:sz w:val="28"/>
            <w:szCs w:val="28"/>
            <w:u w:val="none"/>
          </w:rPr>
          <w:t>№ 98н</w:t>
        </w:r>
      </w:hyperlink>
      <w:r>
        <w:rPr>
          <w:rFonts w:ascii="Times New Roman" w:eastAsia="Times New Roman" w:hAnsi="Times New Roman" w:cs="Times New Roman"/>
          <w:color w:val="000000"/>
          <w:sz w:val="28"/>
          <w:szCs w:val="28"/>
        </w:rPr>
        <w:t xml:space="preserve">, от 17.12.2015 </w:t>
      </w:r>
      <w:hyperlink r:id="rId27">
        <w:r>
          <w:rPr>
            <w:rStyle w:val="a4"/>
            <w:rFonts w:ascii="Calibri" w:eastAsia="Calibri" w:hAnsi="Calibri" w:cs="Calibri"/>
            <w:color w:val="000000"/>
            <w:sz w:val="28"/>
            <w:szCs w:val="28"/>
            <w:u w:val="none"/>
          </w:rPr>
          <w:t>№ 201н</w:t>
        </w:r>
      </w:hyperlink>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России от 29.11.2017 № 209н «Об утверждении порядка применения классификации операций сектора государственного управления» (в ред. Приказа Минфина РФ от 30.11.2018 № 246н, от 13.05.2019 № 69н, от 29.09.2020 №222н, </w:t>
      </w:r>
      <w:bookmarkStart w:id="22" w:name="_Hlk93766045"/>
      <w:r>
        <w:rPr>
          <w:rFonts w:ascii="Times New Roman" w:eastAsia="Times New Roman" w:hAnsi="Times New Roman" w:cs="Times New Roman"/>
          <w:color w:val="000000"/>
          <w:sz w:val="28"/>
          <w:szCs w:val="28"/>
        </w:rPr>
        <w:t>от 24.09.2021 №133н</w:t>
      </w:r>
      <w:bookmarkEnd w:id="22"/>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России от 06.06.2019 № 85н «О порядке формирования и применения кодов бюджетной классификации Российской Федерации, их структуре и принципах назначения» (в ред. от 17.09.2019 </w:t>
      </w:r>
      <w:hyperlink r:id="rId28">
        <w:r>
          <w:rPr>
            <w:rStyle w:val="a4"/>
            <w:rFonts w:ascii="Calibri" w:eastAsia="Calibri" w:hAnsi="Calibri" w:cs="Calibri"/>
            <w:color w:val="000000"/>
            <w:sz w:val="28"/>
            <w:szCs w:val="28"/>
            <w:u w:val="none"/>
          </w:rPr>
          <w:t>№ 148н</w:t>
        </w:r>
      </w:hyperlink>
      <w:r>
        <w:rPr>
          <w:rFonts w:ascii="Times New Roman" w:eastAsia="Times New Roman" w:hAnsi="Times New Roman" w:cs="Times New Roman"/>
          <w:color w:val="000000"/>
          <w:sz w:val="28"/>
          <w:szCs w:val="28"/>
        </w:rPr>
        <w:t xml:space="preserve">, от 29.11.2019 </w:t>
      </w:r>
      <w:hyperlink r:id="rId29">
        <w:r>
          <w:rPr>
            <w:rStyle w:val="a4"/>
            <w:rFonts w:ascii="Calibri" w:eastAsia="Calibri" w:hAnsi="Calibri" w:cs="Calibri"/>
            <w:color w:val="000000"/>
            <w:sz w:val="28"/>
            <w:szCs w:val="28"/>
            <w:u w:val="none"/>
          </w:rPr>
          <w:t>№ 206н</w:t>
        </w:r>
      </w:hyperlink>
      <w:r>
        <w:rPr>
          <w:rFonts w:ascii="Times New Roman" w:eastAsia="Times New Roman" w:hAnsi="Times New Roman" w:cs="Times New Roman"/>
          <w:color w:val="000000"/>
          <w:sz w:val="28"/>
          <w:szCs w:val="28"/>
        </w:rPr>
        <w:t xml:space="preserve">, от 10.03.2020 </w:t>
      </w:r>
      <w:hyperlink r:id="rId30">
        <w:r>
          <w:rPr>
            <w:rStyle w:val="a4"/>
            <w:rFonts w:ascii="Calibri" w:eastAsia="Calibri" w:hAnsi="Calibri" w:cs="Calibri"/>
            <w:color w:val="000000"/>
            <w:sz w:val="28"/>
            <w:szCs w:val="28"/>
            <w:u w:val="none"/>
          </w:rPr>
          <w:t>№ 37н</w:t>
        </w:r>
      </w:hyperlink>
      <w:r>
        <w:rPr>
          <w:rFonts w:ascii="Times New Roman" w:eastAsia="Times New Roman" w:hAnsi="Times New Roman" w:cs="Times New Roman"/>
          <w:color w:val="000000"/>
          <w:sz w:val="28"/>
          <w:szCs w:val="28"/>
        </w:rPr>
        <w:t xml:space="preserve">, </w:t>
      </w:r>
      <w:bookmarkStart w:id="23" w:name="_Hlk68420486"/>
      <w:r>
        <w:rPr>
          <w:rFonts w:ascii="Times New Roman" w:eastAsia="Times New Roman" w:hAnsi="Times New Roman" w:cs="Times New Roman"/>
          <w:color w:val="000000"/>
          <w:sz w:val="28"/>
          <w:szCs w:val="28"/>
        </w:rPr>
        <w:t xml:space="preserve">от 12.05.2020 </w:t>
      </w:r>
      <w:bookmarkEnd w:id="23"/>
      <w:r>
        <w:fldChar w:fldCharType="begin"/>
      </w:r>
      <w:r>
        <w:instrText xml:space="preserve"> HYPERLINK "consultantplus://offline/ref=73EA16C3B243CB49FCD2531AC85A6C3F4091B5E2E0D5DFA54BF575ACBD4DC5EE6E2782E49F927724D0E512C945CB698F1A25842C3F450E702Fk8A" \h </w:instrText>
      </w:r>
      <w:r>
        <w:fldChar w:fldCharType="separate"/>
      </w:r>
      <w:r>
        <w:rPr>
          <w:rStyle w:val="a4"/>
          <w:rFonts w:ascii="Calibri" w:eastAsia="Calibri" w:hAnsi="Calibri" w:cs="Calibri"/>
          <w:color w:val="000000"/>
          <w:sz w:val="28"/>
          <w:szCs w:val="28"/>
          <w:u w:val="none"/>
        </w:rPr>
        <w:t>№ 86н</w:t>
      </w:r>
      <w:r>
        <w:rPr>
          <w:rStyle w:val="a4"/>
          <w:rFonts w:ascii="Calibri" w:eastAsia="Calibri" w:hAnsi="Calibri" w:cs="Calibri"/>
          <w:color w:val="000000"/>
          <w:sz w:val="28"/>
          <w:szCs w:val="28"/>
          <w:u w:val="none"/>
        </w:rPr>
        <w:fldChar w:fldCharType="end"/>
      </w:r>
      <w:r>
        <w:rPr>
          <w:rFonts w:ascii="Times New Roman" w:eastAsia="Times New Roman" w:hAnsi="Times New Roman" w:cs="Times New Roman"/>
          <w:color w:val="000000"/>
          <w:sz w:val="28"/>
          <w:szCs w:val="28"/>
        </w:rPr>
        <w:t xml:space="preserve">, от 08.06.2020 </w:t>
      </w:r>
      <w:hyperlink r:id="rId31">
        <w:r>
          <w:rPr>
            <w:rStyle w:val="a4"/>
            <w:rFonts w:ascii="Calibri" w:eastAsia="Calibri" w:hAnsi="Calibri" w:cs="Calibri"/>
            <w:color w:val="000000"/>
            <w:sz w:val="28"/>
            <w:szCs w:val="28"/>
            <w:u w:val="none"/>
          </w:rPr>
          <w:t>№ 98н</w:t>
        </w:r>
      </w:hyperlink>
      <w:r>
        <w:rPr>
          <w:rFonts w:ascii="Times New Roman" w:eastAsia="Times New Roman" w:hAnsi="Times New Roman" w:cs="Times New Roman"/>
          <w:color w:val="000000"/>
          <w:sz w:val="28"/>
          <w:szCs w:val="28"/>
        </w:rPr>
        <w:t xml:space="preserve">, от 28.09.2020 </w:t>
      </w:r>
      <w:hyperlink r:id="rId32">
        <w:r>
          <w:rPr>
            <w:rStyle w:val="a4"/>
            <w:rFonts w:ascii="Calibri" w:eastAsia="Calibri" w:hAnsi="Calibri" w:cs="Calibri"/>
            <w:color w:val="000000"/>
            <w:sz w:val="28"/>
            <w:szCs w:val="28"/>
            <w:u w:val="none"/>
          </w:rPr>
          <w:t>№ 215н</w:t>
        </w:r>
      </w:hyperlink>
      <w:r>
        <w:rPr>
          <w:rFonts w:ascii="Times New Roman" w:eastAsia="Times New Roman" w:hAnsi="Times New Roman" w:cs="Times New Roman"/>
          <w:color w:val="000000"/>
          <w:sz w:val="28"/>
          <w:szCs w:val="28"/>
        </w:rPr>
        <w:t xml:space="preserve">, от 16.11.2020 </w:t>
      </w:r>
      <w:hyperlink r:id="rId33">
        <w:r>
          <w:rPr>
            <w:rStyle w:val="a4"/>
            <w:rFonts w:ascii="Calibri" w:eastAsia="Calibri" w:hAnsi="Calibri" w:cs="Calibri"/>
            <w:color w:val="000000"/>
            <w:sz w:val="28"/>
            <w:szCs w:val="28"/>
            <w:u w:val="none"/>
          </w:rPr>
          <w:t>№ 267н</w:t>
        </w:r>
      </w:hyperlink>
      <w:r>
        <w:rPr>
          <w:rFonts w:ascii="Times New Roman" w:eastAsia="Times New Roman" w:hAnsi="Times New Roman" w:cs="Times New Roman"/>
          <w:color w:val="000000"/>
          <w:sz w:val="28"/>
          <w:szCs w:val="28"/>
        </w:rPr>
        <w:t xml:space="preserve">, от 29.12.2020 </w:t>
      </w:r>
      <w:hyperlink r:id="rId34">
        <w:r>
          <w:rPr>
            <w:rStyle w:val="a4"/>
            <w:rFonts w:ascii="Calibri" w:eastAsia="Calibri" w:hAnsi="Calibri" w:cs="Calibri"/>
            <w:color w:val="000000"/>
            <w:sz w:val="28"/>
            <w:szCs w:val="28"/>
            <w:u w:val="none"/>
          </w:rPr>
          <w:t>№ 331н, от 15.04.2021 № 60н, от 11.06.2021 № 78н, от 29.07.2021 № 105н</w:t>
        </w:r>
      </w:hyperlink>
      <w:bookmarkStart w:id="24" w:name="_Hlk93766120"/>
      <w:r>
        <w:rPr>
          <w:rFonts w:ascii="Times New Roman" w:eastAsia="Times New Roman" w:hAnsi="Times New Roman" w:cs="Times New Roman"/>
          <w:color w:val="000000"/>
          <w:sz w:val="28"/>
          <w:szCs w:val="28"/>
        </w:rPr>
        <w:t>, от 19.11.2021 №187н</w:t>
      </w:r>
      <w:bookmarkEnd w:id="24"/>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 (в ред. от 15.06.2020 № 103н);</w:t>
      </w:r>
    </w:p>
    <w:p w:rsidR="00536A77" w:rsidRDefault="00DE39C7">
      <w:pPr>
        <w:ind w:firstLine="260"/>
        <w:jc w:val="both"/>
        <w:rPr>
          <w:rFonts w:ascii="Times New Roman" w:eastAsia="Times New Roman" w:hAnsi="Times New Roman" w:cs="Times New Roman"/>
          <w:sz w:val="24"/>
        </w:rPr>
      </w:pPr>
      <w:bookmarkStart w:id="25" w:name="_Hlk37064204"/>
      <w:r>
        <w:rPr>
          <w:rFonts w:ascii="Times New Roman" w:eastAsia="Times New Roman" w:hAnsi="Times New Roman" w:cs="Times New Roman"/>
          <w:color w:val="000000"/>
          <w:sz w:val="28"/>
          <w:szCs w:val="28"/>
        </w:rPr>
        <w:t xml:space="preserve">- Постановление Правительства Российской Федерации от 01.01.2002 № 1 «О классификации основных средств, включаемых в амортизационные группы» (в ред. от 27.12.2019 </w:t>
      </w:r>
      <w:bookmarkEnd w:id="25"/>
      <w:r>
        <w:fldChar w:fldCharType="begin"/>
      </w:r>
      <w:r>
        <w:instrText xml:space="preserve"> HYPERLINK "consultantplus://offline/ref=C8BA953C41A5EEDEA37896C434AA0EA7F58899B0820B9E644D846A560AE7F11B25DCC1EEB96BAC3DD948793C154D7E77104B9781ADE931062BL6I" \h </w:instrText>
      </w:r>
      <w:r>
        <w:fldChar w:fldCharType="separate"/>
      </w:r>
      <w:r>
        <w:rPr>
          <w:rStyle w:val="a4"/>
          <w:rFonts w:ascii="Calibri" w:eastAsia="Calibri" w:hAnsi="Calibri" w:cs="Calibri"/>
          <w:color w:val="000000"/>
          <w:sz w:val="28"/>
          <w:szCs w:val="28"/>
          <w:u w:val="none"/>
        </w:rPr>
        <w:t>№ 1924</w:t>
      </w:r>
      <w:r>
        <w:rPr>
          <w:rStyle w:val="a4"/>
          <w:rFonts w:ascii="Calibri" w:eastAsia="Calibri" w:hAnsi="Calibri" w:cs="Calibri"/>
          <w:color w:val="000000"/>
          <w:sz w:val="28"/>
          <w:szCs w:val="28"/>
          <w:u w:val="none"/>
        </w:rPr>
        <w:fldChar w:fldCharType="end"/>
      </w:r>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Постановление Совета Министров СССР от 22.10.1990 № 1072 «О единых нормах амортизационных отчислений на полное восстановление основных фондов народного хозяйства СССР»;</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w:t>
      </w:r>
    </w:p>
    <w:p w:rsidR="00536A77" w:rsidRDefault="00DE39C7">
      <w:pPr>
        <w:ind w:firstLine="260"/>
        <w:jc w:val="both"/>
        <w:rPr>
          <w:rFonts w:ascii="Times New Roman" w:eastAsia="Times New Roman" w:hAnsi="Times New Roman" w:cs="Times New Roman"/>
          <w:sz w:val="24"/>
        </w:rPr>
      </w:pPr>
      <w:bookmarkStart w:id="26" w:name="_Hlk37064283"/>
      <w:r>
        <w:rPr>
          <w:rFonts w:ascii="Times New Roman" w:eastAsia="Times New Roman" w:hAnsi="Times New Roman" w:cs="Times New Roman"/>
          <w:color w:val="000000"/>
          <w:sz w:val="28"/>
          <w:szCs w:val="28"/>
        </w:rPr>
        <w:lastRenderedPageBreak/>
        <w:t>- Приказ Минфина РФ от 31.08.2018 № 186н «О требованиях к составлению и утверждению плана финансово-хозяйственной деятельности государственного (муниципального) учреждения» (в ред. от 11.12.2019 № 222н, от 07.02.2020 № 17н, от 02.04.2021 № 53н, от 03.09.2021 № 121н);;</w:t>
      </w:r>
      <w:bookmarkEnd w:id="26"/>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Приказ Минфина РФ от 17.08.2020 № 168н «Об утверждении порядка составления и ведения планов финансово-хозяйственной деятельности федеральных бюджетных и автономных учреждений»; </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Приказ Минфина РФ от 02.11.2021 г. №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Постановление Правительства РФ от 26.07.2010 № 538 «О порядке отнесения имущества автономного или бюджетного учреждения к категории особо ценного движимого имущества»; </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Постановление Правительства РФ от 02.08.2010 №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ред. от 19.06.2017 </w:t>
      </w:r>
      <w:hyperlink r:id="rId35">
        <w:r>
          <w:rPr>
            <w:rStyle w:val="a4"/>
            <w:rFonts w:ascii="Calibri" w:eastAsia="Calibri" w:hAnsi="Calibri" w:cs="Calibri"/>
            <w:color w:val="000000"/>
            <w:sz w:val="28"/>
            <w:szCs w:val="28"/>
            <w:u w:val="none"/>
          </w:rPr>
          <w:t>№ 4416-У</w:t>
        </w:r>
      </w:hyperlink>
      <w:r>
        <w:rPr>
          <w:rFonts w:ascii="Times New Roman" w:eastAsia="Times New Roman" w:hAnsi="Times New Roman" w:cs="Times New Roman"/>
          <w:color w:val="000000"/>
          <w:sz w:val="28"/>
          <w:szCs w:val="28"/>
        </w:rPr>
        <w:t xml:space="preserve">, от 05.10.2020 </w:t>
      </w:r>
      <w:hyperlink r:id="rId36">
        <w:r>
          <w:rPr>
            <w:rStyle w:val="a4"/>
            <w:rFonts w:ascii="Calibri" w:eastAsia="Calibri" w:hAnsi="Calibri" w:cs="Calibri"/>
            <w:color w:val="000000"/>
            <w:sz w:val="28"/>
            <w:szCs w:val="28"/>
            <w:u w:val="none"/>
          </w:rPr>
          <w:t>№ 5587-У</w:t>
        </w:r>
      </w:hyperlink>
      <w:r>
        <w:rPr>
          <w:rFonts w:ascii="Times New Roman" w:eastAsia="Times New Roman" w:hAnsi="Times New Roman" w:cs="Times New Roman"/>
          <w:color w:val="000000"/>
          <w:sz w:val="28"/>
          <w:szCs w:val="28"/>
        </w:rPr>
        <w:t>);</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 Методические </w:t>
      </w:r>
      <w:hyperlink r:id="rId37">
        <w:r>
          <w:rPr>
            <w:rStyle w:val="a4"/>
            <w:rFonts w:ascii="Calibri" w:eastAsia="Calibri" w:hAnsi="Calibri" w:cs="Calibri"/>
            <w:color w:val="000000"/>
            <w:sz w:val="28"/>
            <w:szCs w:val="28"/>
            <w:u w:val="none"/>
          </w:rPr>
          <w:t>рекомендации</w:t>
        </w:r>
      </w:hyperlink>
      <w:r>
        <w:rPr>
          <w:rFonts w:ascii="Times New Roman" w:eastAsia="Times New Roman" w:hAnsi="Times New Roman" w:cs="Times New Roman"/>
          <w:color w:val="000000"/>
          <w:sz w:val="28"/>
          <w:szCs w:val="28"/>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30.11.2017 № 02-07-07/79257 «О направлении Методических указаний по применению переходных положений СГС «Основные средства»;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30.11.2017 № 02-07-07/79257 «О направлении Методических указаний по применению переходных положений СГС «Основные средства»;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13.12.2017 № 02-07-07/83464 «О направлении Методических указаний по применению федерального стандарта бухгалтерского учета для организаций государственного сектора «Аренда» (СГС «Аренда»);</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15.12.2017 № 02-07-07/84237 «О направлении Методических указаний по применению федерального стандарта бухгалтерского учета для организаций государственного сектора «Основные средства», утв. Приказом Минфина России от 31.12.2016 № 257н»;</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Письмо Минфина России от 31.07.2018 № 02-06-07/55005 «О направлении Методических указаний по применению федерального стандарта бухгалтерского учета для организаций государственного сектора «События после отчетной даты», утв. Приказом Минфина России от 30.12.2017 № 275н»;</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31.08.2018 № 02-06-07/62480 «О направлении Методических указаний по применению положений СГС «Учетная политика, оценочные значения и ошибки»;</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России от 31.08.2018 № 02-06-07/62483 «О направлении Методических рекомендаций по применению положений СГС «Отчет о движении денежных средств»;</w:t>
      </w:r>
    </w:p>
    <w:p w:rsidR="00536A77" w:rsidRDefault="00DE39C7">
      <w:pPr>
        <w:ind w:firstLine="260"/>
        <w:jc w:val="both"/>
        <w:rPr>
          <w:rFonts w:ascii="Times New Roman" w:eastAsia="Times New Roman" w:hAnsi="Times New Roman" w:cs="Times New Roman"/>
          <w:sz w:val="24"/>
        </w:rPr>
      </w:pPr>
      <w:bookmarkStart w:id="27" w:name="_Hlk37064327"/>
      <w:r>
        <w:rPr>
          <w:rFonts w:ascii="Times New Roman" w:eastAsia="Times New Roman" w:hAnsi="Times New Roman" w:cs="Times New Roman"/>
          <w:color w:val="000000"/>
          <w:sz w:val="28"/>
          <w:szCs w:val="28"/>
        </w:rPr>
        <w:t>- Письмо Минфина РФ от 01.08.2019 № 02-07-07/58075 «Методические рекомендации по применению федерального стандарта бухгалтерского учета для организаций государственного сектора «Запасы»;</w:t>
      </w:r>
      <w:bookmarkEnd w:id="27"/>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05.08.2019 № 02-07-07/58716 «Методические рекомендации по применению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06.08.2019 № 02-06-07/59183 «Методические рекомендации по применению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28.10.2019 № 02-06-07/84752 «Методические рекомендации по применению федерального стандарта бухгалтерского учета для организаций государственного сектора «Долгосрочные договоры»;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30.11.2020 № 02-07-07/104384 «Методические рекомендации по применению федерального стандарта бухгалтерского учета государственных финансов «Нематериальные активы»;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02.04.2021 № 02-07-07/25218 «В дополнении к методическим рекомендациям по применению СГС «Нематериальные активы»;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30.11.2020 № 02-06-07/104576 «Методические рекомендации по применению федерального стандарта бухгалтерского учета государственных финансов «Выплаты персоналу»;</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30.11.2020 № 02-07-07/104383 «Методические рекомендации по применению федерального стандарта бухгалтерского учета государственных финансов «Финансовые инструменты»;</w:t>
      </w:r>
    </w:p>
    <w:p w:rsidR="00536A77" w:rsidRDefault="00DE39C7">
      <w:pPr>
        <w:ind w:firstLine="5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11.12.2020 № 02-08-10/109210 «Руководство по применению классификации операций сектора государственного управления»;</w:t>
      </w:r>
    </w:p>
    <w:p w:rsidR="00536A77" w:rsidRDefault="00DE39C7">
      <w:pPr>
        <w:ind w:firstLine="260"/>
        <w:jc w:val="both"/>
        <w:rPr>
          <w:rFonts w:ascii="Times New Roman" w:eastAsia="Times New Roman" w:hAnsi="Times New Roman" w:cs="Times New Roman"/>
          <w:sz w:val="24"/>
        </w:rPr>
      </w:pPr>
      <w:bookmarkStart w:id="28" w:name="_Hlk93766570"/>
      <w:r>
        <w:rPr>
          <w:rFonts w:ascii="Calibri" w:eastAsia="Calibri" w:hAnsi="Calibri" w:cs="Calibri"/>
          <w:color w:val="000000"/>
        </w:rPr>
        <w:t xml:space="preserve">- </w:t>
      </w:r>
      <w:r>
        <w:rPr>
          <w:rFonts w:ascii="Times New Roman" w:eastAsia="Times New Roman" w:hAnsi="Times New Roman" w:cs="Times New Roman"/>
          <w:color w:val="000000"/>
          <w:sz w:val="28"/>
          <w:szCs w:val="28"/>
        </w:rPr>
        <w:t>Письмо Минфина РФ от 29.11.2021 г. № 02-07-07/96775 «Методические рекомендации по применению федерального стандарта бухгалтерского учета государственных финансов «Биологические активы»;</w:t>
      </w:r>
      <w:bookmarkEnd w:id="28"/>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Письмо Минфина РФ от 02.04.2021 № 02-07-07/25218 «В дополнение к методическим рекомендациям по применению СГС «Нематериальные активы».</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Письмо Минфина РФ от 20.12.2021 № 02-08-10/103863 «Руководство по применению классификации операций сектора государственного управления» (часть 2).</w:t>
      </w:r>
    </w:p>
    <w:p w:rsidR="00536A77" w:rsidRDefault="00DE39C7">
      <w:pPr>
        <w:ind w:firstLine="26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Единый порядок ведения бухгалтерского учета в Колледже устанавливается учетной политикой учреждения, в состав которой входят следующие положения: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применяемых методах оценки имущества и обязательств;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правилах документооборота и технологии обработки учетной информации;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об отражении в учете и отчетности КГА ПОУ ГАСКК МЦК событии после отчетной даты;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постоянно действующей инвентаризационной комиссии;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-положение о порядке проведения инвентаризации основных средств, непроизведенных и нематериальных активов;</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порядке проведения инвентаризации материальных запасов;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порядке проведения инвентаризации кассы;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порядке проведения инвентаризации дебиторской и кредиторской задолженности;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порядке проведения инвентаризации </w:t>
      </w:r>
      <w:proofErr w:type="spellStart"/>
      <w:r>
        <w:rPr>
          <w:rFonts w:ascii="Times New Roman" w:eastAsia="Times New Roman" w:hAnsi="Times New Roman" w:cs="Times New Roman"/>
          <w:color w:val="000000"/>
          <w:sz w:val="28"/>
          <w:szCs w:val="28"/>
          <w:shd w:val="clear" w:color="auto" w:fill="FFFFFF"/>
        </w:rPr>
        <w:t>забалансовых</w:t>
      </w:r>
      <w:proofErr w:type="spellEnd"/>
      <w:r>
        <w:rPr>
          <w:rFonts w:ascii="Times New Roman" w:eastAsia="Times New Roman" w:hAnsi="Times New Roman" w:cs="Times New Roman"/>
          <w:color w:val="000000"/>
          <w:sz w:val="28"/>
          <w:szCs w:val="28"/>
          <w:shd w:val="clear" w:color="auto" w:fill="FFFFFF"/>
        </w:rPr>
        <w:t xml:space="preserve"> счетов;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 xml:space="preserve">-положение о внутреннем финансовом контроле бухгалтерского учета и финансовой отчетности;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-положение о порядке передачи документов при смене руководителя и (или) главного бухгалтера Колледжа;</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shd w:val="clear" w:color="auto" w:fill="FFFFFF"/>
        </w:rPr>
        <w:t>-положение о выдаче под отчет денежных документов, составлении и предоставлении отчетов подотчетными лицами;</w:t>
      </w:r>
    </w:p>
    <w:p w:rsidR="00536A77" w:rsidRDefault="00DE39C7">
      <w:pPr>
        <w:shd w:val="clear" w:color="auto" w:fill="FFFFFF"/>
        <w:ind w:left="-100" w:firstLine="9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zCs w:val="28"/>
          <w:shd w:val="clear" w:color="auto" w:fill="FFFFFF"/>
        </w:rPr>
        <w:t>-положение о выдаче денежных средств, составление и предоставление отчетов подотчетными лицами;</w:t>
      </w:r>
      <w:r>
        <w:rPr>
          <w:rFonts w:ascii="Times New Roman" w:eastAsia="Times New Roman" w:hAnsi="Times New Roman" w:cs="Times New Roman"/>
          <w:color w:val="000000"/>
          <w:sz w:val="28"/>
          <w:szCs w:val="28"/>
          <w:shd w:val="clear" w:color="auto" w:fill="C6D9F1"/>
        </w:rPr>
        <w:t xml:space="preserve"> </w:t>
      </w:r>
    </w:p>
    <w:p w:rsidR="00536A77" w:rsidRDefault="00DE39C7">
      <w:pPr>
        <w:shd w:val="clear" w:color="auto" w:fill="FFFFFF"/>
        <w:ind w:left="-100" w:firstLine="9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zCs w:val="28"/>
        </w:rPr>
        <w:t xml:space="preserve">-положение о </w:t>
      </w:r>
      <w:r>
        <w:rPr>
          <w:rFonts w:ascii="Times New Roman" w:eastAsia="Times New Roman" w:hAnsi="Times New Roman" w:cs="Times New Roman"/>
          <w:color w:val="000000"/>
          <w:sz w:val="28"/>
          <w:szCs w:val="28"/>
          <w:shd w:val="clear" w:color="auto" w:fill="FFFFFF"/>
        </w:rPr>
        <w:t>санкционировании;</w:t>
      </w:r>
      <w:r>
        <w:rPr>
          <w:rFonts w:ascii="Times New Roman" w:eastAsia="Times New Roman" w:hAnsi="Times New Roman" w:cs="Times New Roman"/>
          <w:color w:val="000000"/>
          <w:sz w:val="28"/>
          <w:szCs w:val="28"/>
          <w:shd w:val="clear" w:color="auto" w:fill="C6D9F1"/>
        </w:rPr>
        <w:t xml:space="preserve"> </w:t>
      </w:r>
    </w:p>
    <w:p w:rsidR="00536A77" w:rsidRDefault="00DE39C7">
      <w:pPr>
        <w:shd w:val="clear" w:color="auto" w:fill="FFFFFF"/>
        <w:ind w:left="-100" w:firstLine="9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zCs w:val="28"/>
          <w:shd w:val="clear" w:color="auto" w:fill="FFFFFF"/>
        </w:rPr>
        <w:t xml:space="preserve">-положение о порядке ведения кассовых операций, </w:t>
      </w:r>
    </w:p>
    <w:p w:rsidR="00536A77" w:rsidRDefault="00DE39C7">
      <w:pPr>
        <w:shd w:val="clear" w:color="auto" w:fill="FFFFFF"/>
        <w:ind w:left="-100" w:firstLine="9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zCs w:val="28"/>
          <w:shd w:val="clear" w:color="auto" w:fill="FFFFFF"/>
        </w:rPr>
        <w:t>-положение о направлении работников в служебные командировки.</w:t>
      </w:r>
    </w:p>
    <w:p w:rsidR="00536A77" w:rsidRDefault="00DE39C7">
      <w:pPr>
        <w:shd w:val="clear" w:color="auto" w:fill="FFFFFF"/>
        <w:ind w:left="-100" w:firstLine="90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color w:val="000000"/>
          <w:sz w:val="28"/>
          <w:szCs w:val="28"/>
          <w:shd w:val="clear" w:color="auto" w:fill="FFFFFF"/>
        </w:rPr>
        <w:t>-положение постоянно действующей комиссии по поступлению и выбытию активов.</w:t>
      </w:r>
      <w:r>
        <w:rPr>
          <w:rFonts w:ascii="Times New Roman" w:eastAsia="Times New Roman" w:hAnsi="Times New Roman" w:cs="Times New Roman"/>
          <w:color w:val="000000"/>
          <w:sz w:val="28"/>
          <w:szCs w:val="28"/>
          <w:shd w:val="clear" w:color="auto" w:fill="C6D9F1"/>
        </w:rPr>
        <w:t xml:space="preserve">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Колледж применяет следующие правила формирования учетной политики: учетная политика Колледжа утверждена приказом генерального директора от 09.01.2023 № 01-ОД и применяется последовательно из года в год. Изменение учетной политики может производиться в случаях изменений требований, установленных законодательством Российской Федерации о бухгалтерском учете, Федеральными и (или) отраслевыми </w:t>
      </w:r>
      <w:r>
        <w:rPr>
          <w:rFonts w:ascii="Times New Roman" w:eastAsia="Times New Roman" w:hAnsi="Times New Roman" w:cs="Times New Roman"/>
          <w:color w:val="000000"/>
          <w:sz w:val="28"/>
          <w:szCs w:val="28"/>
        </w:rPr>
        <w:lastRenderedPageBreak/>
        <w:t>стандартами,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существенного изменения условий деятельности Колледжа. В целях обеспечения сопоставимости данных бухгалтерского учета изменения учетной политики вводятся с начала финансового года, если иное не обусловливается причиной такого изменения.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Методы оценки активов, обязательств, доходов и расходов, применяемых в Колледже, утверждены положением, определяющим следующие принципы.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Объекты нефинансовых активов принимаются к бухгалтерскому учету по их первоначальной (фактической) стоимости. Объекты недвижимого имущества принимаются к учету по кадастровой стоимости, если они до 01 января 2018 года не признавались таковыми в составе основных средств (в случае ее наличия). При отсутствии кадастровой стоимости – в условной оценке либо по балансовой стоимости. Земельные участки, находящиеся на праве безвозмездного (бессрочного) пользования, принимаются к учету по первоначальной стоимости, под которой понимается их рыночная (кадастровая) стоимость на дату принятия к бухгалтерскому учету. Для оценки различных видов активов и обязательств  применяется справедливая стоимость, которая определяется методом рыночных цен или методом амортизированной стоимости замещения. При определении суммы ущерба применяется текущая восстановительная стоимость. В связи с отсутствием определения текущей восстановительной стоимости в ЕПС, использовать понятие «текущей оценочной стоимости». Поступление имущества по договорам дарения (пожертвования) оценивается по текущей оценочной стоимости. По активам учреждения, не имеющим аналогов и не являющимся предметами договоров купли-продажи, по которым информация о стоимости изготовления отсутствует, применяется условная оценка: один объект, один рубль. Активы и обязательства в балансе делятся на долгосрочные (</w:t>
      </w:r>
      <w:proofErr w:type="spellStart"/>
      <w:r>
        <w:rPr>
          <w:rFonts w:ascii="Times New Roman" w:eastAsia="Times New Roman" w:hAnsi="Times New Roman" w:cs="Times New Roman"/>
          <w:color w:val="000000"/>
          <w:sz w:val="28"/>
          <w:szCs w:val="28"/>
        </w:rPr>
        <w:t>внеоборотные</w:t>
      </w:r>
      <w:proofErr w:type="spellEnd"/>
      <w:r>
        <w:rPr>
          <w:rFonts w:ascii="Times New Roman" w:eastAsia="Times New Roman" w:hAnsi="Times New Roman" w:cs="Times New Roman"/>
          <w:color w:val="000000"/>
          <w:sz w:val="28"/>
          <w:szCs w:val="28"/>
        </w:rPr>
        <w:t>) и краткосрочные (оборотные). 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xml:space="preserve">Дебиторская задолженность по арендным обязательствам пользователя (арендатора) признается в сумме дисконтированной стоимости арендных платежей. Признание в учете расходов, в отношении которых сформирован резерв предстоящих расходов, осуществляется за счет суммы созданного резерва. В отчетном периоде Колледжем заключен  один договор аренды  на неопределенный срок. По договору аренды сдается часть помещения недвижимого имущества, закрепленного за Колледжем на праве оперативного управления. Согласно учетной политике Колледжа предстоящие доходы от предоставления права пользования активом </w:t>
      </w:r>
      <w:r>
        <w:rPr>
          <w:rFonts w:ascii="Times New Roman" w:eastAsia="Times New Roman" w:hAnsi="Times New Roman" w:cs="Times New Roman"/>
          <w:color w:val="000000"/>
          <w:sz w:val="28"/>
          <w:szCs w:val="28"/>
        </w:rPr>
        <w:lastRenderedPageBreak/>
        <w:t>признаются в сумме арендных платежей за календарный год. Доходы от операционной аренды признаются доходами текущего финансового года в составе доходов от собственности с одновременным уменьшением предстоящих доходов в соответствии с установленной договором аренды суммы платежа.</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Доходы от условных арендных платежей определяются согласно заключенному  с арендатором договору о возмещении расходов по оплате коммунальных услуг и эксплуатационных расходов на содержание имущества с зафиксированным размером оплаты, который ежегодно пересматривается на основании тарифов на коммунальные и прочие услуги.</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Информация о результатах исполнения Колледжем плана его финансово-хозяйственной деятельности, о результатах исполнения государственного задания подлежат обязательной публикации на официальном сайте для размещения информации о государственных (муниципальных) учреждениях bus.gov.ru. Также публикуется информация об операциях с целевыми средствами из бюджета, информация о результатах деятельности и об использовании имущества, сведения о проведенных контрольных мероприятиях и результатах, баланс государственного (муниципального) учреждения и иная информация об учреждении, необходимая для  понимания пользователями бухгалтерской  (финансовой) отчетности его финансового положения, финансовых результатов деятельности и движения денежных средств.</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lastRenderedPageBreak/>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ind w:left="-100" w:firstLine="900"/>
        <w:jc w:val="both"/>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DE39C7">
      <w:pPr>
        <w:rPr>
          <w:rFonts w:ascii="Times New Roman" w:eastAsia="Times New Roman" w:hAnsi="Times New Roman" w:cs="Times New Roman"/>
          <w:sz w:val="24"/>
        </w:rPr>
      </w:pPr>
      <w:r>
        <w:rPr>
          <w:rFonts w:ascii="Times New Roman" w:eastAsia="Times New Roman" w:hAnsi="Times New Roman" w:cs="Times New Roman"/>
          <w:color w:val="000000"/>
          <w:sz w:val="28"/>
          <w:szCs w:val="28"/>
        </w:rPr>
        <w:t> </w:t>
      </w:r>
    </w:p>
    <w:p w:rsidR="00536A77" w:rsidRDefault="00536A77"/>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4"/>
          <w:szCs w:val="24"/>
        </w:rPr>
        <w:t> </w:t>
      </w:r>
    </w:p>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140" w:type="dxa"/>
        <w:tblInd w:w="96" w:type="dxa"/>
        <w:tblBorders>
          <w:top w:val="nil"/>
          <w:left w:val="nil"/>
          <w:bottom w:val="nil"/>
          <w:right w:val="nil"/>
        </w:tblBorders>
        <w:tblCellMar>
          <w:left w:w="0" w:type="dxa"/>
          <w:right w:w="0" w:type="dxa"/>
        </w:tblCellMar>
        <w:tblLook w:val="04A0" w:firstRow="1" w:lastRow="0" w:firstColumn="1" w:lastColumn="0" w:noHBand="0" w:noVBand="1"/>
      </w:tblPr>
      <w:tblGrid>
        <w:gridCol w:w="2730"/>
        <w:gridCol w:w="4716"/>
        <w:gridCol w:w="1694"/>
      </w:tblGrid>
      <w:tr w:rsidR="00536A77">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040" w:type="dxa"/>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536A77">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040" w:type="dxa"/>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536A77">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lastRenderedPageBreak/>
              <w:t>Руководитель</w:t>
            </w:r>
          </w:p>
        </w:tc>
        <w:tc>
          <w:tcPr>
            <w:tcW w:w="204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noProof/>
              </w:rPr>
              <w:drawing>
                <wp:inline distT="0" distB="0" distL="0" distR="0">
                  <wp:extent cx="2857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8"/>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536A77" w:rsidRDefault="00536A77"/>
        </w:tc>
      </w:tr>
      <w:tr w:rsidR="00536A77">
        <w:trPr>
          <w:trHeight w:val="280"/>
        </w:trPr>
        <w:tc>
          <w:tcPr>
            <w:tcW w:w="2730" w:type="dxa"/>
            <w:noWrap/>
            <w:tcMar>
              <w:top w:w="0" w:type="dxa"/>
              <w:left w:w="108" w:type="dxa"/>
              <w:bottom w:w="0" w:type="dxa"/>
              <w:right w:w="108" w:type="dxa"/>
            </w:tcMar>
            <w:vAlign w:val="bottom"/>
            <w:hideMark/>
          </w:tcPr>
          <w:p w:rsidR="00536A77" w:rsidRDefault="00536A77">
            <w:pPr>
              <w:rPr>
                <w:sz w:val="24"/>
              </w:rPr>
            </w:pPr>
          </w:p>
        </w:tc>
        <w:tc>
          <w:tcPr>
            <w:tcW w:w="2040" w:type="dxa"/>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536A77">
        <w:trPr>
          <w:trHeight w:val="281"/>
        </w:trPr>
        <w:tc>
          <w:tcPr>
            <w:tcW w:w="0" w:type="auto"/>
            <w:gridSpan w:val="3"/>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r>
      <w:tr w:rsidR="00536A77">
        <w:trPr>
          <w:trHeight w:val="281"/>
        </w:trPr>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 планово-</w:t>
            </w:r>
          </w:p>
        </w:tc>
        <w:tc>
          <w:tcPr>
            <w:tcW w:w="204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noProof/>
              </w:rPr>
              <w:drawing>
                <wp:inline distT="0" distB="0" distL="0" distR="0">
                  <wp:extent cx="2857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9"/>
                          <a:stretch>
                            <a:fillRect/>
                          </a:stretch>
                        </pic:blipFill>
                        <pic:spPr>
                          <a:xfrm>
                            <a:off x="0" y="0"/>
                            <a:ext cx="2857500" cy="952500"/>
                          </a:xfrm>
                          <a:prstGeom prst="rect">
                            <a:avLst/>
                          </a:prstGeom>
                          <a:noFill/>
                        </pic:spPr>
                      </pic:pic>
                    </a:graphicData>
                  </a:graphic>
                </wp:inline>
              </w:drawing>
            </w:r>
          </w:p>
        </w:tc>
        <w:tc>
          <w:tcPr>
            <w:tcW w:w="0" w:type="auto"/>
            <w:tcMar>
              <w:top w:w="0" w:type="dxa"/>
              <w:left w:w="108" w:type="dxa"/>
              <w:bottom w:w="0" w:type="dxa"/>
              <w:right w:w="108" w:type="dxa"/>
            </w:tcMar>
            <w:vAlign w:val="center"/>
            <w:hideMark/>
          </w:tcPr>
          <w:p w:rsidR="00536A77" w:rsidRDefault="00536A77">
            <w:pPr>
              <w:rPr>
                <w:sz w:val="24"/>
              </w:rPr>
            </w:pPr>
          </w:p>
        </w:tc>
      </w:tr>
      <w:tr w:rsidR="00536A77">
        <w:trPr>
          <w:trHeight w:val="281"/>
        </w:trPr>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экономической службы</w:t>
            </w:r>
          </w:p>
        </w:tc>
        <w:tc>
          <w:tcPr>
            <w:tcW w:w="2040" w:type="dxa"/>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536A77">
        <w:trPr>
          <w:trHeight w:val="281"/>
        </w:trPr>
        <w:tc>
          <w:tcPr>
            <w:tcW w:w="0" w:type="auto"/>
            <w:gridSpan w:val="3"/>
            <w:noWrap/>
            <w:tcMar>
              <w:top w:w="0" w:type="dxa"/>
              <w:left w:w="108" w:type="dxa"/>
              <w:bottom w:w="0" w:type="dxa"/>
              <w:right w:w="108" w:type="dxa"/>
            </w:tcMar>
            <w:vAlign w:val="bottom"/>
            <w:hideMark/>
          </w:tcPr>
          <w:p w:rsidR="00536A77" w:rsidRDefault="00536A77">
            <w:pPr>
              <w:rPr>
                <w:sz w:val="24"/>
              </w:rPr>
            </w:pPr>
          </w:p>
        </w:tc>
      </w:tr>
      <w:tr w:rsidR="00536A77">
        <w:trPr>
          <w:trHeight w:val="281"/>
        </w:trPr>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Главный</w:t>
            </w:r>
          </w:p>
        </w:tc>
        <w:tc>
          <w:tcPr>
            <w:tcW w:w="204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noProof/>
              </w:rPr>
              <w:drawing>
                <wp:inline distT="0" distB="0" distL="0" distR="0">
                  <wp:extent cx="2857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0"/>
                          <a:stretch>
                            <a:fillRect/>
                          </a:stretch>
                        </pic:blipFill>
                        <pic:spPr>
                          <a:xfrm>
                            <a:off x="0" y="0"/>
                            <a:ext cx="2857500" cy="952500"/>
                          </a:xfrm>
                          <a:prstGeom prst="rect">
                            <a:avLst/>
                          </a:prstGeom>
                          <a:noFill/>
                        </pic:spPr>
                      </pic:pic>
                    </a:graphicData>
                  </a:graphic>
                </wp:inline>
              </w:drawing>
            </w:r>
          </w:p>
        </w:tc>
        <w:tc>
          <w:tcPr>
            <w:tcW w:w="0" w:type="auto"/>
            <w:noWrap/>
            <w:tcMar>
              <w:top w:w="0" w:type="dxa"/>
              <w:left w:w="108" w:type="dxa"/>
              <w:bottom w:w="0" w:type="dxa"/>
              <w:right w:w="108" w:type="dxa"/>
            </w:tcMar>
            <w:vAlign w:val="bottom"/>
            <w:hideMark/>
          </w:tcPr>
          <w:p w:rsidR="00536A77" w:rsidRDefault="00536A77">
            <w:pPr>
              <w:rPr>
                <w:sz w:val="24"/>
              </w:rPr>
            </w:pPr>
          </w:p>
        </w:tc>
      </w:tr>
      <w:tr w:rsidR="00536A77">
        <w:trPr>
          <w:trHeight w:val="281"/>
        </w:trPr>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бухгалтер</w:t>
            </w:r>
          </w:p>
        </w:tc>
        <w:tc>
          <w:tcPr>
            <w:tcW w:w="2040" w:type="dxa"/>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0" w:type="dxa"/>
              <w:left w:w="108" w:type="dxa"/>
              <w:bottom w:w="0" w:type="dxa"/>
              <w:right w:w="108"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r w:rsidR="00536A77">
        <w:trPr>
          <w:trHeight w:val="449"/>
        </w:trPr>
        <w:tc>
          <w:tcPr>
            <w:tcW w:w="2730" w:type="dxa"/>
            <w:tcMar>
              <w:top w:w="0" w:type="dxa"/>
              <w:left w:w="108" w:type="dxa"/>
              <w:bottom w:w="0" w:type="dxa"/>
              <w:right w:w="108"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0" w:type="dxa"/>
              <w:left w:w="108" w:type="dxa"/>
              <w:bottom w:w="0" w:type="dxa"/>
              <w:right w:w="108" w:type="dxa"/>
            </w:tcMar>
            <w:vAlign w:val="center"/>
            <w:hideMark/>
          </w:tcPr>
          <w:p w:rsidR="00536A77" w:rsidRDefault="00536A77">
            <w:pPr>
              <w:rPr>
                <w:sz w:val="24"/>
              </w:rPr>
            </w:pPr>
          </w:p>
        </w:tc>
        <w:tc>
          <w:tcPr>
            <w:tcW w:w="0" w:type="auto"/>
            <w:tcMar>
              <w:top w:w="0" w:type="dxa"/>
              <w:left w:w="108" w:type="dxa"/>
              <w:bottom w:w="0" w:type="dxa"/>
              <w:right w:w="108" w:type="dxa"/>
            </w:tcMar>
            <w:vAlign w:val="center"/>
            <w:hideMark/>
          </w:tcPr>
          <w:p w:rsidR="00536A77" w:rsidRDefault="00536A77">
            <w:pPr>
              <w:rPr>
                <w:sz w:val="24"/>
              </w:rPr>
            </w:pPr>
          </w:p>
        </w:tc>
      </w:tr>
    </w:tbl>
    <w:p w:rsidR="00536A77" w:rsidRDefault="00536A77">
      <w:pPr>
        <w:rPr>
          <w:vanish/>
        </w:rPr>
      </w:pPr>
    </w:p>
    <w:tbl>
      <w:tblPr>
        <w:tblW w:w="9720" w:type="dxa"/>
        <w:tblInd w:w="93" w:type="dxa"/>
        <w:tblBorders>
          <w:top w:val="nil"/>
          <w:left w:val="nil"/>
          <w:bottom w:val="nil"/>
          <w:right w:val="nil"/>
        </w:tblBorders>
        <w:tblCellMar>
          <w:left w:w="0" w:type="dxa"/>
          <w:right w:w="0" w:type="dxa"/>
        </w:tblCellMar>
        <w:tblLook w:val="04A0" w:firstRow="1" w:lastRow="0" w:firstColumn="1" w:lastColumn="0" w:noHBand="0" w:noVBand="1"/>
      </w:tblPr>
      <w:tblGrid>
        <w:gridCol w:w="7424"/>
        <w:gridCol w:w="875"/>
        <w:gridCol w:w="1132"/>
        <w:gridCol w:w="289"/>
      </w:tblGrid>
      <w:tr w:rsidR="00536A77">
        <w:trPr>
          <w:trHeight w:val="240"/>
        </w:trPr>
        <w:tc>
          <w:tcPr>
            <w:tcW w:w="7080" w:type="dxa"/>
            <w:noWrap/>
            <w:tcMar>
              <w:top w:w="0" w:type="dxa"/>
              <w:left w:w="108" w:type="dxa"/>
              <w:bottom w:w="0" w:type="dxa"/>
              <w:right w:w="108" w:type="dxa"/>
            </w:tcMar>
            <w:vAlign w:val="bottom"/>
            <w:hideMark/>
          </w:tcPr>
          <w:p w:rsidR="00536A77" w:rsidRDefault="00DE39C7">
            <w:pPr>
              <w:spacing w:before="240" w:beforeAutospacing="1" w:after="240" w:afterAutospacing="1"/>
              <w:jc w:val="center"/>
              <w:rPr>
                <w:rFonts w:ascii="Times New Roman" w:eastAsia="Times New Roman" w:hAnsi="Times New Roman" w:cs="Times New Roman"/>
                <w:b/>
                <w:i/>
                <w:sz w:val="24"/>
              </w:rPr>
            </w:pPr>
            <w:r>
              <w:rPr>
                <w:rFonts w:ascii="Times New Roman" w:eastAsia="Times New Roman" w:hAnsi="Times New Roman" w:cs="Times New Roman"/>
                <w:b/>
                <w:i/>
                <w:sz w:val="24"/>
                <w:szCs w:val="24"/>
              </w:rPr>
              <w:t>Централизованная бухгалтерия</w:t>
            </w:r>
          </w:p>
        </w:tc>
        <w:tc>
          <w:tcPr>
            <w:tcW w:w="570" w:type="dxa"/>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4"/>
                <w:szCs w:val="24"/>
              </w:rPr>
              <w:t>ОГРН</w:t>
            </w:r>
          </w:p>
        </w:tc>
        <w:tc>
          <w:tcPr>
            <w:tcW w:w="1080" w:type="dxa"/>
            <w:tcBorders>
              <w:top w:val="single" w:sz="8" w:space="0" w:color="000000"/>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536A77">
            <w:pPr>
              <w:rPr>
                <w:sz w:val="24"/>
              </w:rPr>
            </w:pPr>
          </w:p>
        </w:tc>
        <w:tc>
          <w:tcPr>
            <w:tcW w:w="195"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4"/>
                <w:szCs w:val="24"/>
              </w:rPr>
              <w:t> </w:t>
            </w:r>
          </w:p>
        </w:tc>
      </w:tr>
      <w:tr w:rsidR="00536A77">
        <w:trPr>
          <w:trHeight w:val="282"/>
        </w:trPr>
        <w:tc>
          <w:tcPr>
            <w:tcW w:w="7080" w:type="dxa"/>
            <w:noWrap/>
            <w:tcMar>
              <w:top w:w="0" w:type="dxa"/>
              <w:left w:w="108" w:type="dxa"/>
              <w:bottom w:w="0" w:type="dxa"/>
              <w:right w:w="108" w:type="dxa"/>
            </w:tcMar>
            <w:vAlign w:val="bottom"/>
            <w:hideMark/>
          </w:tcPr>
          <w:p w:rsidR="00536A77" w:rsidRDefault="00536A77">
            <w:pPr>
              <w:rPr>
                <w:sz w:val="24"/>
              </w:rPr>
            </w:pPr>
          </w:p>
        </w:tc>
        <w:tc>
          <w:tcPr>
            <w:tcW w:w="570" w:type="dxa"/>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4"/>
                <w:szCs w:val="24"/>
              </w:rPr>
              <w:t>ИНН</w:t>
            </w:r>
          </w:p>
        </w:tc>
        <w:tc>
          <w:tcPr>
            <w:tcW w:w="10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536A77">
            <w:pPr>
              <w:rPr>
                <w:sz w:val="24"/>
              </w:rPr>
            </w:pPr>
          </w:p>
        </w:tc>
        <w:tc>
          <w:tcPr>
            <w:tcW w:w="0" w:type="auto"/>
            <w:tcMar>
              <w:top w:w="0" w:type="dxa"/>
              <w:left w:w="108" w:type="dxa"/>
              <w:bottom w:w="0" w:type="dxa"/>
              <w:right w:w="108" w:type="dxa"/>
            </w:tcMar>
            <w:vAlign w:val="center"/>
            <w:hideMark/>
          </w:tcPr>
          <w:p w:rsidR="00536A77" w:rsidRDefault="00536A77">
            <w:pPr>
              <w:rPr>
                <w:sz w:val="24"/>
              </w:rPr>
            </w:pPr>
          </w:p>
        </w:tc>
      </w:tr>
      <w:tr w:rsidR="00536A77">
        <w:trPr>
          <w:trHeight w:val="300"/>
        </w:trPr>
        <w:tc>
          <w:tcPr>
            <w:tcW w:w="7080" w:type="dxa"/>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5"/>
                <w:szCs w:val="15"/>
              </w:rPr>
              <w:t>(наименование, местонахождение)</w:t>
            </w:r>
          </w:p>
        </w:tc>
        <w:tc>
          <w:tcPr>
            <w:tcW w:w="570" w:type="dxa"/>
            <w:noWrap/>
            <w:tcMar>
              <w:top w:w="0" w:type="dxa"/>
              <w:left w:w="108" w:type="dxa"/>
              <w:bottom w:w="0" w:type="dxa"/>
              <w:right w:w="108" w:type="dxa"/>
            </w:tcMar>
            <w:vAlign w:val="bottom"/>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4"/>
                <w:szCs w:val="24"/>
              </w:rPr>
              <w:t>КПП</w:t>
            </w:r>
          </w:p>
        </w:tc>
        <w:tc>
          <w:tcPr>
            <w:tcW w:w="1080"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rsidR="00536A77" w:rsidRDefault="00536A77">
            <w:pPr>
              <w:rPr>
                <w:sz w:val="24"/>
              </w:rPr>
            </w:pPr>
          </w:p>
        </w:tc>
        <w:tc>
          <w:tcPr>
            <w:tcW w:w="195" w:type="dxa"/>
            <w:noWrap/>
            <w:tcMar>
              <w:top w:w="0" w:type="dxa"/>
              <w:left w:w="108" w:type="dxa"/>
              <w:bottom w:w="0" w:type="dxa"/>
              <w:right w:w="108" w:type="dxa"/>
            </w:tcMar>
            <w:vAlign w:val="bottom"/>
            <w:hideMark/>
          </w:tcPr>
          <w:p w:rsidR="00536A77" w:rsidRDefault="00536A77">
            <w:pPr>
              <w:rPr>
                <w:sz w:val="24"/>
              </w:rPr>
            </w:pPr>
          </w:p>
        </w:tc>
      </w:tr>
      <w:tr w:rsidR="00536A77">
        <w:trPr>
          <w:trHeight w:val="240"/>
        </w:trPr>
        <w:tc>
          <w:tcPr>
            <w:tcW w:w="7080" w:type="dxa"/>
            <w:noWrap/>
            <w:tcMar>
              <w:top w:w="0" w:type="dxa"/>
              <w:left w:w="108" w:type="dxa"/>
              <w:bottom w:w="0" w:type="dxa"/>
              <w:right w:w="108" w:type="dxa"/>
            </w:tcMar>
            <w:vAlign w:val="bottom"/>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4"/>
                <w:szCs w:val="24"/>
              </w:rPr>
              <w:t> </w:t>
            </w:r>
          </w:p>
        </w:tc>
        <w:tc>
          <w:tcPr>
            <w:tcW w:w="0" w:type="auto"/>
            <w:tcMar>
              <w:top w:w="0" w:type="dxa"/>
              <w:left w:w="108" w:type="dxa"/>
              <w:bottom w:w="0" w:type="dxa"/>
              <w:right w:w="108" w:type="dxa"/>
            </w:tcMar>
            <w:vAlign w:val="center"/>
            <w:hideMark/>
          </w:tcPr>
          <w:p w:rsidR="00536A77" w:rsidRDefault="00536A77">
            <w:pPr>
              <w:rPr>
                <w:sz w:val="24"/>
              </w:rPr>
            </w:pPr>
          </w:p>
        </w:tc>
        <w:tc>
          <w:tcPr>
            <w:tcW w:w="0" w:type="auto"/>
            <w:tcMar>
              <w:top w:w="0" w:type="dxa"/>
              <w:left w:w="108" w:type="dxa"/>
              <w:bottom w:w="0" w:type="dxa"/>
              <w:right w:w="108" w:type="dxa"/>
            </w:tcMar>
            <w:vAlign w:val="center"/>
            <w:hideMark/>
          </w:tcPr>
          <w:p w:rsidR="00536A77" w:rsidRDefault="00536A77">
            <w:pPr>
              <w:rPr>
                <w:sz w:val="24"/>
              </w:rPr>
            </w:pPr>
          </w:p>
        </w:tc>
        <w:tc>
          <w:tcPr>
            <w:tcW w:w="0" w:type="auto"/>
            <w:tcMar>
              <w:top w:w="0" w:type="dxa"/>
              <w:left w:w="108" w:type="dxa"/>
              <w:bottom w:w="0" w:type="dxa"/>
              <w:right w:w="108" w:type="dxa"/>
            </w:tcMar>
            <w:vAlign w:val="center"/>
            <w:hideMark/>
          </w:tcPr>
          <w:p w:rsidR="00536A77" w:rsidRDefault="00536A77">
            <w:pPr>
              <w:rPr>
                <w:sz w:val="24"/>
              </w:rPr>
            </w:pPr>
          </w:p>
        </w:tc>
      </w:tr>
    </w:tbl>
    <w:p w:rsidR="00536A77" w:rsidRDefault="00DE39C7">
      <w:pPr>
        <w:spacing w:before="240" w:beforeAutospacing="1" w:after="240" w:afterAutospacing="1"/>
        <w:rPr>
          <w:rFonts w:ascii="Times New Roman" w:eastAsia="Times New Roman" w:hAnsi="Times New Roman" w:cs="Times New Roman"/>
          <w:sz w:val="24"/>
        </w:rPr>
      </w:pPr>
      <w:r>
        <w:rPr>
          <w:rFonts w:ascii="Times New Roman" w:eastAsia="Times New Roman" w:hAnsi="Times New Roman" w:cs="Times New Roman"/>
          <w:sz w:val="24"/>
          <w:szCs w:val="24"/>
        </w:rPr>
        <w:t> </w:t>
      </w:r>
    </w:p>
    <w:p w:rsidR="00536A77" w:rsidRDefault="00DE39C7">
      <w:pPr>
        <w:spacing w:before="240" w:beforeAutospacing="1" w:after="240" w:afterAutospacing="1"/>
        <w:rPr>
          <w:rFonts w:ascii="Times New Roman" w:eastAsia="Times New Roman" w:hAnsi="Times New Roman" w:cs="Times New Roman"/>
          <w:sz w:val="24"/>
        </w:rPr>
      </w:pPr>
      <w:r>
        <w:rPr>
          <w:rFonts w:ascii="Times New Roman" w:eastAsia="Times New Roman" w:hAnsi="Times New Roman" w:cs="Times New Roman"/>
          <w:sz w:val="24"/>
          <w:szCs w:val="24"/>
        </w:rPr>
        <w:t> </w:t>
      </w:r>
    </w:p>
    <w:tbl>
      <w:tblPr>
        <w:tblW w:w="9600" w:type="dxa"/>
        <w:tblCellSpacing w:w="15" w:type="dxa"/>
        <w:tblBorders>
          <w:top w:val="nil"/>
          <w:left w:val="nil"/>
          <w:bottom w:val="nil"/>
          <w:right w:val="nil"/>
        </w:tblBorders>
        <w:tblCellMar>
          <w:left w:w="0" w:type="dxa"/>
          <w:right w:w="0" w:type="dxa"/>
        </w:tblCellMar>
        <w:tblLook w:val="04A0" w:firstRow="1" w:lastRow="0" w:firstColumn="1" w:lastColumn="0" w:noHBand="0" w:noVBand="1"/>
      </w:tblPr>
      <w:tblGrid>
        <w:gridCol w:w="2535"/>
        <w:gridCol w:w="2520"/>
        <w:gridCol w:w="1980"/>
        <w:gridCol w:w="2565"/>
      </w:tblGrid>
      <w:tr w:rsidR="00536A77">
        <w:trPr>
          <w:trHeight w:val="75"/>
          <w:tblCellSpacing w:w="15" w:type="dxa"/>
        </w:trPr>
        <w:tc>
          <w:tcPr>
            <w:tcW w:w="2490" w:type="dxa"/>
            <w:tcMar>
              <w:top w:w="15" w:type="dxa"/>
              <w:left w:w="15" w:type="dxa"/>
              <w:bottom w:w="15" w:type="dxa"/>
              <w:right w:w="15"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Руководитель</w:t>
            </w:r>
          </w:p>
        </w:tc>
        <w:tc>
          <w:tcPr>
            <w:tcW w:w="0" w:type="auto"/>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  </w:t>
            </w:r>
          </w:p>
        </w:tc>
        <w:tc>
          <w:tcPr>
            <w:tcW w:w="1950" w:type="dxa"/>
            <w:tcMar>
              <w:top w:w="15" w:type="dxa"/>
              <w:left w:w="15" w:type="dxa"/>
              <w:bottom w:w="15" w:type="dxa"/>
              <w:right w:w="15" w:type="dxa"/>
            </w:tcMar>
            <w:vAlign w:val="center"/>
            <w:hideMark/>
          </w:tcPr>
          <w:p w:rsidR="00536A77" w:rsidRDefault="00536A77">
            <w:pPr>
              <w:rPr>
                <w:sz w:val="8"/>
              </w:rPr>
            </w:pPr>
          </w:p>
        </w:tc>
        <w:tc>
          <w:tcPr>
            <w:tcW w:w="2520" w:type="dxa"/>
            <w:tcMar>
              <w:top w:w="15" w:type="dxa"/>
              <w:left w:w="15" w:type="dxa"/>
              <w:bottom w:w="15" w:type="dxa"/>
              <w:right w:w="15" w:type="dxa"/>
            </w:tcMar>
            <w:vAlign w:val="center"/>
            <w:hideMark/>
          </w:tcPr>
          <w:p w:rsidR="00536A77" w:rsidRDefault="00536A77">
            <w:pPr>
              <w:rPr>
                <w:sz w:val="8"/>
              </w:rPr>
            </w:pPr>
          </w:p>
        </w:tc>
      </w:tr>
      <w:tr w:rsidR="00536A77">
        <w:trPr>
          <w:trHeight w:val="195"/>
          <w:tblCellSpacing w:w="15" w:type="dxa"/>
        </w:trPr>
        <w:tc>
          <w:tcPr>
            <w:tcW w:w="2490"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lastRenderedPageBreak/>
              <w:t>(уполномоченное лицо)</w:t>
            </w:r>
          </w:p>
        </w:tc>
        <w:tc>
          <w:tcPr>
            <w:tcW w:w="0" w:type="auto"/>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(должность)</w:t>
            </w:r>
          </w:p>
        </w:tc>
        <w:tc>
          <w:tcPr>
            <w:tcW w:w="1950"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(подпись) </w:t>
            </w:r>
          </w:p>
        </w:tc>
        <w:tc>
          <w:tcPr>
            <w:tcW w:w="2520"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r>
    </w:tbl>
    <w:p w:rsidR="00536A77" w:rsidRDefault="00DE39C7">
      <w:pPr>
        <w:rPr>
          <w:rFonts w:ascii="Times New Roman" w:eastAsia="Times New Roman" w:hAnsi="Times New Roman" w:cs="Times New Roman"/>
          <w:sz w:val="24"/>
        </w:rPr>
      </w:pPr>
      <w:r>
        <w:rPr>
          <w:rFonts w:ascii="Times New Roman" w:eastAsia="Times New Roman" w:hAnsi="Times New Roman" w:cs="Times New Roman"/>
          <w:vanish/>
          <w:sz w:val="24"/>
          <w:szCs w:val="24"/>
        </w:rPr>
        <w:t> </w:t>
      </w:r>
    </w:p>
    <w:tbl>
      <w:tblPr>
        <w:tblW w:w="10587" w:type="dxa"/>
        <w:tblCellSpacing w:w="15" w:type="dxa"/>
        <w:tblBorders>
          <w:top w:val="nil"/>
          <w:left w:val="nil"/>
          <w:bottom w:val="nil"/>
          <w:right w:val="nil"/>
        </w:tblBorders>
        <w:tblCellMar>
          <w:left w:w="0" w:type="dxa"/>
          <w:right w:w="0" w:type="dxa"/>
        </w:tblCellMar>
        <w:tblLook w:val="04A0" w:firstRow="1" w:lastRow="0" w:firstColumn="1" w:lastColumn="0" w:noHBand="0" w:noVBand="1"/>
      </w:tblPr>
      <w:tblGrid>
        <w:gridCol w:w="1205"/>
        <w:gridCol w:w="2109"/>
        <w:gridCol w:w="4560"/>
        <w:gridCol w:w="1276"/>
        <w:gridCol w:w="1437"/>
      </w:tblGrid>
      <w:tr w:rsidR="00536A77">
        <w:trPr>
          <w:trHeight w:val="343"/>
          <w:tblCellSpacing w:w="15" w:type="dxa"/>
        </w:trPr>
        <w:tc>
          <w:tcPr>
            <w:tcW w:w="1167" w:type="dxa"/>
            <w:tcMar>
              <w:top w:w="15" w:type="dxa"/>
              <w:left w:w="15" w:type="dxa"/>
              <w:bottom w:w="15" w:type="dxa"/>
              <w:right w:w="15"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3022"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c>
          <w:tcPr>
            <w:tcW w:w="2227" w:type="dxa"/>
            <w:tcMar>
              <w:top w:w="15" w:type="dxa"/>
              <w:left w:w="15" w:type="dxa"/>
              <w:bottom w:w="15" w:type="dxa"/>
              <w:right w:w="15" w:type="dxa"/>
            </w:tcMar>
            <w:vAlign w:val="center"/>
            <w:hideMark/>
          </w:tcPr>
          <w:p w:rsidR="00536A77" w:rsidRDefault="00DE39C7">
            <w:pPr>
              <w:ind w:left="-232" w:firstLine="232"/>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0" w:type="auto"/>
            <w:tcMar>
              <w:top w:w="15" w:type="dxa"/>
              <w:left w:w="15" w:type="dxa"/>
              <w:bottom w:w="15" w:type="dxa"/>
              <w:right w:w="15" w:type="dxa"/>
            </w:tcMar>
            <w:vAlign w:val="center"/>
            <w:hideMark/>
          </w:tcPr>
          <w:p w:rsidR="00536A77" w:rsidRDefault="00DE39C7">
            <w:pPr>
              <w:ind w:left="-498"/>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c>
          <w:tcPr>
            <w:tcW w:w="1905"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rPr>
              <w:t> </w:t>
            </w:r>
          </w:p>
        </w:tc>
      </w:tr>
      <w:tr w:rsidR="00536A77">
        <w:trPr>
          <w:trHeight w:val="343"/>
          <w:tblCellSpacing w:w="15" w:type="dxa"/>
        </w:trPr>
        <w:tc>
          <w:tcPr>
            <w:tcW w:w="1167" w:type="dxa"/>
            <w:tcMar>
              <w:top w:w="15" w:type="dxa"/>
              <w:left w:w="15" w:type="dxa"/>
              <w:bottom w:w="15" w:type="dxa"/>
              <w:right w:w="15"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Исполнитель</w:t>
            </w:r>
          </w:p>
        </w:tc>
        <w:tc>
          <w:tcPr>
            <w:tcW w:w="3022"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Главный бухгалтер</w:t>
            </w:r>
          </w:p>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  </w:t>
            </w:r>
          </w:p>
        </w:tc>
        <w:tc>
          <w:tcPr>
            <w:tcW w:w="2227" w:type="dxa"/>
            <w:tcMar>
              <w:top w:w="15" w:type="dxa"/>
              <w:left w:w="15" w:type="dxa"/>
              <w:bottom w:w="15" w:type="dxa"/>
              <w:right w:w="15" w:type="dxa"/>
            </w:tcMar>
            <w:vAlign w:val="center"/>
            <w:hideMark/>
          </w:tcPr>
          <w:p w:rsidR="00536A77" w:rsidRDefault="00DE39C7">
            <w:pPr>
              <w:rPr>
                <w:rFonts w:ascii="Times New Roman" w:eastAsia="Times New Roman" w:hAnsi="Times New Roman" w:cs="Times New Roman"/>
                <w:sz w:val="24"/>
              </w:rPr>
            </w:pPr>
            <w:r>
              <w:rPr>
                <w:noProof/>
              </w:rPr>
              <w:drawing>
                <wp:inline distT="0" distB="0" distL="0" distR="0">
                  <wp:extent cx="2857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41"/>
                          <a:stretch>
                            <a:fillRect/>
                          </a:stretch>
                        </pic:blipFill>
                        <pic:spPr>
                          <a:xfrm>
                            <a:off x="0" y="0"/>
                            <a:ext cx="2857500" cy="952500"/>
                          </a:xfrm>
                          <a:prstGeom prst="rect">
                            <a:avLst/>
                          </a:prstGeom>
                          <a:noFill/>
                        </pic:spPr>
                      </pic:pic>
                    </a:graphicData>
                  </a:graphic>
                </wp:inline>
              </w:drawing>
            </w:r>
          </w:p>
        </w:tc>
        <w:tc>
          <w:tcPr>
            <w:tcW w:w="0" w:type="auto"/>
            <w:tcMar>
              <w:top w:w="15" w:type="dxa"/>
              <w:left w:w="15" w:type="dxa"/>
              <w:bottom w:w="15" w:type="dxa"/>
              <w:right w:w="15" w:type="dxa"/>
            </w:tcMar>
            <w:vAlign w:val="center"/>
            <w:hideMark/>
          </w:tcPr>
          <w:p w:rsidR="00536A77" w:rsidRDefault="00DE39C7">
            <w:pPr>
              <w:ind w:left="-498"/>
              <w:jc w:val="center"/>
              <w:rPr>
                <w:rFonts w:ascii="Times New Roman" w:eastAsia="Times New Roman" w:hAnsi="Times New Roman" w:cs="Times New Roman"/>
                <w:sz w:val="24"/>
              </w:rPr>
            </w:pPr>
            <w:proofErr w:type="spellStart"/>
            <w:r>
              <w:rPr>
                <w:rFonts w:ascii="Times New Roman" w:eastAsia="Times New Roman" w:hAnsi="Times New Roman" w:cs="Times New Roman"/>
                <w:sz w:val="18"/>
                <w:szCs w:val="18"/>
                <w:u w:val="single"/>
              </w:rPr>
              <w:t>Загорских</w:t>
            </w:r>
            <w:proofErr w:type="spellEnd"/>
            <w:r>
              <w:rPr>
                <w:rFonts w:ascii="Times New Roman" w:eastAsia="Times New Roman" w:hAnsi="Times New Roman" w:cs="Times New Roman"/>
                <w:sz w:val="18"/>
                <w:szCs w:val="18"/>
                <w:u w:val="single"/>
              </w:rPr>
              <w:t xml:space="preserve"> Анна Юрьевна</w:t>
            </w:r>
          </w:p>
        </w:tc>
        <w:tc>
          <w:tcPr>
            <w:tcW w:w="1905"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18"/>
                <w:szCs w:val="18"/>
                <w:u w:val="single"/>
              </w:rPr>
              <w:t>8(4217) 265297</w:t>
            </w:r>
          </w:p>
        </w:tc>
      </w:tr>
      <w:tr w:rsidR="00536A77">
        <w:trPr>
          <w:trHeight w:val="340"/>
          <w:tblCellSpacing w:w="15" w:type="dxa"/>
        </w:trPr>
        <w:tc>
          <w:tcPr>
            <w:tcW w:w="1167" w:type="dxa"/>
            <w:tcMar>
              <w:top w:w="15" w:type="dxa"/>
              <w:left w:w="15" w:type="dxa"/>
              <w:bottom w:w="15" w:type="dxa"/>
              <w:right w:w="15" w:type="dxa"/>
            </w:tcMar>
            <w:vAlign w:val="center"/>
            <w:hideMark/>
          </w:tcPr>
          <w:p w:rsidR="00536A77" w:rsidRDefault="00536A77">
            <w:pPr>
              <w:rPr>
                <w:sz w:val="24"/>
              </w:rPr>
            </w:pPr>
          </w:p>
        </w:tc>
        <w:tc>
          <w:tcPr>
            <w:tcW w:w="3022"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(должность)</w:t>
            </w:r>
          </w:p>
        </w:tc>
        <w:tc>
          <w:tcPr>
            <w:tcW w:w="2227"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(подпись)</w:t>
            </w:r>
          </w:p>
        </w:tc>
        <w:tc>
          <w:tcPr>
            <w:tcW w:w="0" w:type="auto"/>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(расшифровка подписи)</w:t>
            </w:r>
          </w:p>
        </w:tc>
        <w:tc>
          <w:tcPr>
            <w:tcW w:w="1905" w:type="dxa"/>
            <w:tcMar>
              <w:top w:w="15" w:type="dxa"/>
              <w:left w:w="15" w:type="dxa"/>
              <w:bottom w:w="15" w:type="dxa"/>
              <w:right w:w="15" w:type="dxa"/>
            </w:tcMar>
            <w:vAlign w:val="center"/>
            <w:hideMark/>
          </w:tcPr>
          <w:p w:rsidR="00536A77" w:rsidRDefault="00DE39C7">
            <w:pPr>
              <w:jc w:val="center"/>
              <w:rPr>
                <w:rFonts w:ascii="Times New Roman" w:eastAsia="Times New Roman" w:hAnsi="Times New Roman" w:cs="Times New Roman"/>
                <w:sz w:val="24"/>
              </w:rPr>
            </w:pPr>
            <w:r>
              <w:rPr>
                <w:rFonts w:ascii="Times New Roman" w:eastAsia="Times New Roman" w:hAnsi="Times New Roman" w:cs="Times New Roman"/>
                <w:sz w:val="20"/>
                <w:szCs w:val="20"/>
              </w:rPr>
              <w:t>(телефон, e-</w:t>
            </w:r>
            <w:proofErr w:type="spellStart"/>
            <w:r>
              <w:rPr>
                <w:rFonts w:ascii="Times New Roman" w:eastAsia="Times New Roman" w:hAnsi="Times New Roman" w:cs="Times New Roman"/>
                <w:sz w:val="20"/>
                <w:szCs w:val="20"/>
              </w:rPr>
              <w:t>mail</w:t>
            </w:r>
            <w:proofErr w:type="spellEnd"/>
            <w:r>
              <w:rPr>
                <w:rFonts w:ascii="Times New Roman" w:eastAsia="Times New Roman" w:hAnsi="Times New Roman" w:cs="Times New Roman"/>
                <w:sz w:val="20"/>
                <w:szCs w:val="20"/>
              </w:rPr>
              <w:t>)</w:t>
            </w:r>
          </w:p>
        </w:tc>
      </w:tr>
      <w:tr w:rsidR="00536A77">
        <w:trPr>
          <w:tblCellSpacing w:w="15" w:type="dxa"/>
        </w:trPr>
        <w:tc>
          <w:tcPr>
            <w:tcW w:w="10527" w:type="dxa"/>
            <w:gridSpan w:val="5"/>
            <w:tcMar>
              <w:top w:w="15" w:type="dxa"/>
              <w:left w:w="15" w:type="dxa"/>
              <w:bottom w:w="15" w:type="dxa"/>
              <w:right w:w="15" w:type="dxa"/>
            </w:tcMar>
            <w:vAlign w:val="center"/>
            <w:hideMark/>
          </w:tcPr>
          <w:p w:rsidR="00536A77" w:rsidRDefault="00536A77"/>
        </w:tc>
      </w:tr>
      <w:tr w:rsidR="00536A77">
        <w:trPr>
          <w:tblCellSpacing w:w="15" w:type="dxa"/>
        </w:trPr>
        <w:tc>
          <w:tcPr>
            <w:tcW w:w="10527" w:type="dxa"/>
            <w:gridSpan w:val="5"/>
            <w:tcMar>
              <w:top w:w="15" w:type="dxa"/>
              <w:left w:w="15" w:type="dxa"/>
              <w:bottom w:w="15" w:type="dxa"/>
              <w:right w:w="15" w:type="dxa"/>
            </w:tcMar>
            <w:vAlign w:val="center"/>
            <w:hideMark/>
          </w:tcPr>
          <w:p w:rsidR="00536A77" w:rsidRDefault="00DE39C7">
            <w:pPr>
              <w:rPr>
                <w:rFonts w:ascii="Times New Roman" w:eastAsia="Times New Roman" w:hAnsi="Times New Roman" w:cs="Times New Roman"/>
                <w:sz w:val="24"/>
              </w:rPr>
            </w:pPr>
            <w:r>
              <w:rPr>
                <w:rFonts w:ascii="Times New Roman" w:eastAsia="Times New Roman" w:hAnsi="Times New Roman" w:cs="Times New Roman"/>
                <w:sz w:val="20"/>
                <w:szCs w:val="20"/>
              </w:rPr>
              <w:t>"_____"  _________________ 20 ____ г.</w:t>
            </w:r>
          </w:p>
        </w:tc>
      </w:tr>
    </w:tbl>
    <w:p w:rsidR="00536A77" w:rsidRDefault="00DE39C7">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szCs w:val="24"/>
        </w:rPr>
        <w:t>Документ подписан электронной подписью. Дата представления 17.01.2024</w:t>
      </w:r>
      <w:r>
        <w:rPr>
          <w:rFonts w:ascii="Times New Roman" w:eastAsia="Times New Roman" w:hAnsi="Times New Roman" w:cs="Times New Roman"/>
          <w:sz w:val="24"/>
          <w:szCs w:val="24"/>
        </w:rPr>
        <w:br/>
        <w:t>Главный бухгалтер(</w:t>
      </w:r>
      <w:proofErr w:type="spellStart"/>
      <w:r>
        <w:rPr>
          <w:rFonts w:ascii="Times New Roman" w:eastAsia="Times New Roman" w:hAnsi="Times New Roman" w:cs="Times New Roman"/>
          <w:sz w:val="24"/>
          <w:szCs w:val="24"/>
        </w:rPr>
        <w:t>Загорских</w:t>
      </w:r>
      <w:proofErr w:type="spellEnd"/>
      <w:r>
        <w:rPr>
          <w:rFonts w:ascii="Times New Roman" w:eastAsia="Times New Roman" w:hAnsi="Times New Roman" w:cs="Times New Roman"/>
          <w:sz w:val="24"/>
          <w:szCs w:val="24"/>
        </w:rPr>
        <w:t xml:space="preserve"> Анна Юрьевна, Сертификат: 00C97CB4A0918221D24F8DB37567B6757A, Действителен: с 20.03.2023 по 12.06.2024), Руководитель(Аристова Вера Александровна, Сертификат: 1EA2FB8C455E5F05D6E96A115BF3A3E3, Действителен: с 16.10.2023 по 08.01.2025), Исполнитель(</w:t>
      </w:r>
      <w:proofErr w:type="spellStart"/>
      <w:r>
        <w:rPr>
          <w:rFonts w:ascii="Times New Roman" w:eastAsia="Times New Roman" w:hAnsi="Times New Roman" w:cs="Times New Roman"/>
          <w:sz w:val="24"/>
          <w:szCs w:val="24"/>
        </w:rPr>
        <w:t>Загорских</w:t>
      </w:r>
      <w:proofErr w:type="spellEnd"/>
      <w:r>
        <w:rPr>
          <w:rFonts w:ascii="Times New Roman" w:eastAsia="Times New Roman" w:hAnsi="Times New Roman" w:cs="Times New Roman"/>
          <w:sz w:val="24"/>
          <w:szCs w:val="24"/>
        </w:rPr>
        <w:t xml:space="preserve"> Анна Юрьевна, Сертификат: 00C97CB4A0918221D24F8DB37567B6757A, Действителен: с 20.03.2023 по 12.06.2024), Руководитель финансово-экономической службы(</w:t>
      </w:r>
      <w:proofErr w:type="spellStart"/>
      <w:r>
        <w:rPr>
          <w:rFonts w:ascii="Times New Roman" w:eastAsia="Times New Roman" w:hAnsi="Times New Roman" w:cs="Times New Roman"/>
          <w:sz w:val="24"/>
          <w:szCs w:val="24"/>
        </w:rPr>
        <w:t>Загорских</w:t>
      </w:r>
      <w:proofErr w:type="spellEnd"/>
      <w:r>
        <w:rPr>
          <w:rFonts w:ascii="Times New Roman" w:eastAsia="Times New Roman" w:hAnsi="Times New Roman" w:cs="Times New Roman"/>
          <w:sz w:val="24"/>
          <w:szCs w:val="24"/>
        </w:rPr>
        <w:t xml:space="preserve"> Анна Юрьевна, Сертификат: 00C97CB4A0918221D24F8DB37567B6757A, Действителен: с 20.03.2023 по 12.06.2024) </w:t>
      </w:r>
    </w:p>
    <w:sectPr w:rsidR="00536A77">
      <w:pgSz w:w="15840" w:h="12240" w:orient="landscape"/>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DEC0"/>
    <w:multiLevelType w:val="hybridMultilevel"/>
    <w:tmpl w:val="D7E067C0"/>
    <w:lvl w:ilvl="0" w:tplc="0BDBCCD5">
      <w:start w:val="1"/>
      <w:numFmt w:val="bullet"/>
      <w:lvlText w:val="§"/>
      <w:lvlJc w:val="left"/>
      <w:pPr>
        <w:ind w:left="720" w:hanging="360"/>
      </w:pPr>
      <w:rPr>
        <w:rFonts w:ascii="Wingdings" w:eastAsia="Wingdings" w:hAnsi="Wingdings" w:cs="Wingdings"/>
      </w:rPr>
    </w:lvl>
    <w:lvl w:ilvl="1" w:tplc="19AFAC29">
      <w:start w:val="1"/>
      <w:numFmt w:val="bullet"/>
      <w:lvlText w:val="o"/>
      <w:lvlJc w:val="left"/>
      <w:pPr>
        <w:ind w:left="1440" w:hanging="360"/>
      </w:pPr>
      <w:rPr>
        <w:rFonts w:ascii="Symbol" w:hAnsi="Symbol"/>
      </w:rPr>
    </w:lvl>
    <w:lvl w:ilvl="2" w:tplc="3BC344E0">
      <w:start w:val="1"/>
      <w:numFmt w:val="bullet"/>
      <w:lvlText w:val="·"/>
      <w:lvlJc w:val="left"/>
      <w:pPr>
        <w:ind w:left="2160" w:hanging="360"/>
      </w:pPr>
      <w:rPr>
        <w:rFonts w:ascii="Symbol" w:hAnsi="Symbol"/>
      </w:rPr>
    </w:lvl>
    <w:lvl w:ilvl="3" w:tplc="2BC9BC29">
      <w:start w:val="1"/>
      <w:numFmt w:val="bullet"/>
      <w:lvlText w:val="o"/>
      <w:lvlJc w:val="left"/>
      <w:pPr>
        <w:ind w:left="2880" w:hanging="360"/>
      </w:pPr>
      <w:rPr>
        <w:rFonts w:ascii="Symbol" w:hAnsi="Symbol"/>
      </w:rPr>
    </w:lvl>
    <w:lvl w:ilvl="4" w:tplc="2684F556">
      <w:start w:val="1"/>
      <w:numFmt w:val="bullet"/>
      <w:lvlText w:val="·"/>
      <w:lvlJc w:val="left"/>
      <w:pPr>
        <w:ind w:left="3600" w:hanging="360"/>
      </w:pPr>
      <w:rPr>
        <w:rFonts w:ascii="Symbol" w:hAnsi="Symbol"/>
      </w:rPr>
    </w:lvl>
    <w:lvl w:ilvl="5" w:tplc="37489B84">
      <w:start w:val="1"/>
      <w:numFmt w:val="bullet"/>
      <w:lvlText w:val="o"/>
      <w:lvlJc w:val="left"/>
      <w:pPr>
        <w:ind w:left="4320" w:hanging="360"/>
      </w:pPr>
      <w:rPr>
        <w:rFonts w:ascii="Symbol" w:hAnsi="Symbol"/>
      </w:rPr>
    </w:lvl>
    <w:lvl w:ilvl="6" w:tplc="701A9597">
      <w:start w:val="1"/>
      <w:numFmt w:val="bullet"/>
      <w:lvlText w:val="·"/>
      <w:lvlJc w:val="left"/>
      <w:pPr>
        <w:ind w:left="5040" w:hanging="360"/>
      </w:pPr>
      <w:rPr>
        <w:rFonts w:ascii="Symbol" w:hAnsi="Symbol"/>
      </w:rPr>
    </w:lvl>
    <w:lvl w:ilvl="7" w:tplc="60444C37">
      <w:start w:val="1"/>
      <w:numFmt w:val="bullet"/>
      <w:lvlText w:val="o"/>
      <w:lvlJc w:val="left"/>
      <w:pPr>
        <w:ind w:left="5760" w:hanging="360"/>
      </w:pPr>
      <w:rPr>
        <w:rFonts w:ascii="Symbol" w:hAnsi="Symbol"/>
      </w:rPr>
    </w:lvl>
    <w:lvl w:ilvl="8" w:tplc="3F38E258">
      <w:start w:val="1"/>
      <w:numFmt w:val="bullet"/>
      <w:lvlText w:val="·"/>
      <w:lvlJc w:val="left"/>
      <w:pPr>
        <w:ind w:left="6480" w:hanging="360"/>
      </w:pPr>
      <w:rPr>
        <w:rFonts w:ascii="Symbol" w:hAnsi="Symbol"/>
      </w:rPr>
    </w:lvl>
  </w:abstractNum>
  <w:abstractNum w:abstractNumId="1">
    <w:nsid w:val="49FF2A93"/>
    <w:multiLevelType w:val="hybridMultilevel"/>
    <w:tmpl w:val="1B2CB12C"/>
    <w:lvl w:ilvl="0" w:tplc="675640C0">
      <w:start w:val="1"/>
      <w:numFmt w:val="bullet"/>
      <w:lvlText w:val="§"/>
      <w:lvlJc w:val="left"/>
      <w:pPr>
        <w:ind w:left="720" w:hanging="360"/>
      </w:pPr>
      <w:rPr>
        <w:rFonts w:ascii="Wingdings" w:eastAsia="Wingdings" w:hAnsi="Wingdings" w:cs="Wingdings"/>
      </w:rPr>
    </w:lvl>
    <w:lvl w:ilvl="1" w:tplc="22B5E06D">
      <w:start w:val="1"/>
      <w:numFmt w:val="bullet"/>
      <w:lvlText w:val="o"/>
      <w:lvlJc w:val="left"/>
      <w:pPr>
        <w:ind w:left="1440" w:hanging="360"/>
      </w:pPr>
      <w:rPr>
        <w:rFonts w:ascii="Symbol" w:hAnsi="Symbol"/>
      </w:rPr>
    </w:lvl>
    <w:lvl w:ilvl="2" w:tplc="5266E56B">
      <w:start w:val="1"/>
      <w:numFmt w:val="bullet"/>
      <w:lvlText w:val="·"/>
      <w:lvlJc w:val="left"/>
      <w:pPr>
        <w:ind w:left="2160" w:hanging="360"/>
      </w:pPr>
      <w:rPr>
        <w:rFonts w:ascii="Symbol" w:hAnsi="Symbol"/>
      </w:rPr>
    </w:lvl>
    <w:lvl w:ilvl="3" w:tplc="4FBC8B53">
      <w:start w:val="1"/>
      <w:numFmt w:val="bullet"/>
      <w:lvlText w:val="o"/>
      <w:lvlJc w:val="left"/>
      <w:pPr>
        <w:ind w:left="2880" w:hanging="360"/>
      </w:pPr>
      <w:rPr>
        <w:rFonts w:ascii="Symbol" w:hAnsi="Symbol"/>
      </w:rPr>
    </w:lvl>
    <w:lvl w:ilvl="4" w:tplc="3472CCA9">
      <w:start w:val="1"/>
      <w:numFmt w:val="bullet"/>
      <w:lvlText w:val="·"/>
      <w:lvlJc w:val="left"/>
      <w:pPr>
        <w:ind w:left="3600" w:hanging="360"/>
      </w:pPr>
      <w:rPr>
        <w:rFonts w:ascii="Symbol" w:hAnsi="Symbol"/>
      </w:rPr>
    </w:lvl>
    <w:lvl w:ilvl="5" w:tplc="64A4FDD9">
      <w:start w:val="1"/>
      <w:numFmt w:val="bullet"/>
      <w:lvlText w:val="o"/>
      <w:lvlJc w:val="left"/>
      <w:pPr>
        <w:ind w:left="4320" w:hanging="360"/>
      </w:pPr>
      <w:rPr>
        <w:rFonts w:ascii="Symbol" w:hAnsi="Symbol"/>
      </w:rPr>
    </w:lvl>
    <w:lvl w:ilvl="6" w:tplc="67783217">
      <w:start w:val="1"/>
      <w:numFmt w:val="bullet"/>
      <w:lvlText w:val="·"/>
      <w:lvlJc w:val="left"/>
      <w:pPr>
        <w:ind w:left="5040" w:hanging="360"/>
      </w:pPr>
      <w:rPr>
        <w:rFonts w:ascii="Symbol" w:hAnsi="Symbol"/>
      </w:rPr>
    </w:lvl>
    <w:lvl w:ilvl="7" w:tplc="45FF21D8">
      <w:start w:val="1"/>
      <w:numFmt w:val="bullet"/>
      <w:lvlText w:val="o"/>
      <w:lvlJc w:val="left"/>
      <w:pPr>
        <w:ind w:left="5760" w:hanging="360"/>
      </w:pPr>
      <w:rPr>
        <w:rFonts w:ascii="Symbol" w:hAnsi="Symbol"/>
      </w:rPr>
    </w:lvl>
    <w:lvl w:ilvl="8" w:tplc="0F2C3559">
      <w:start w:val="1"/>
      <w:numFmt w:val="bullet"/>
      <w:lvlText w:val="·"/>
      <w:lvlJc w:val="left"/>
      <w:pPr>
        <w:ind w:left="6480" w:hanging="360"/>
      </w:pPr>
      <w:rPr>
        <w:rFonts w:ascii="Symbol" w:hAnsi="Symbol"/>
      </w:rPr>
    </w:lvl>
  </w:abstractNum>
  <w:abstractNum w:abstractNumId="2">
    <w:nsid w:val="4CE093A2"/>
    <w:multiLevelType w:val="hybridMultilevel"/>
    <w:tmpl w:val="482C11E2"/>
    <w:lvl w:ilvl="0" w:tplc="496C7CF6">
      <w:start w:val="1"/>
      <w:numFmt w:val="bullet"/>
      <w:lvlText w:val="·"/>
      <w:lvlJc w:val="left"/>
      <w:pPr>
        <w:ind w:left="720" w:hanging="360"/>
      </w:pPr>
      <w:rPr>
        <w:rFonts w:ascii="Symbol" w:eastAsia="Symbol" w:hAnsi="Symbol" w:cs="Symbol"/>
      </w:rPr>
    </w:lvl>
    <w:lvl w:ilvl="1" w:tplc="06C0F8D1">
      <w:start w:val="1"/>
      <w:numFmt w:val="bullet"/>
      <w:lvlText w:val="o"/>
      <w:lvlJc w:val="left"/>
      <w:pPr>
        <w:ind w:left="1440" w:hanging="360"/>
      </w:pPr>
      <w:rPr>
        <w:rFonts w:ascii="Symbol" w:hAnsi="Symbol"/>
      </w:rPr>
    </w:lvl>
    <w:lvl w:ilvl="2" w:tplc="2242ACCA">
      <w:start w:val="1"/>
      <w:numFmt w:val="bullet"/>
      <w:lvlText w:val="·"/>
      <w:lvlJc w:val="left"/>
      <w:pPr>
        <w:ind w:left="2160" w:hanging="360"/>
      </w:pPr>
      <w:rPr>
        <w:rFonts w:ascii="Symbol" w:hAnsi="Symbol"/>
      </w:rPr>
    </w:lvl>
    <w:lvl w:ilvl="3" w:tplc="6976ED59">
      <w:start w:val="1"/>
      <w:numFmt w:val="bullet"/>
      <w:lvlText w:val="o"/>
      <w:lvlJc w:val="left"/>
      <w:pPr>
        <w:ind w:left="2880" w:hanging="360"/>
      </w:pPr>
      <w:rPr>
        <w:rFonts w:ascii="Symbol" w:hAnsi="Symbol"/>
      </w:rPr>
    </w:lvl>
    <w:lvl w:ilvl="4" w:tplc="39070371">
      <w:start w:val="1"/>
      <w:numFmt w:val="bullet"/>
      <w:lvlText w:val="·"/>
      <w:lvlJc w:val="left"/>
      <w:pPr>
        <w:ind w:left="3600" w:hanging="360"/>
      </w:pPr>
      <w:rPr>
        <w:rFonts w:ascii="Symbol" w:hAnsi="Symbol"/>
      </w:rPr>
    </w:lvl>
    <w:lvl w:ilvl="5" w:tplc="6EE2B0D7">
      <w:start w:val="1"/>
      <w:numFmt w:val="bullet"/>
      <w:lvlText w:val="o"/>
      <w:lvlJc w:val="left"/>
      <w:pPr>
        <w:ind w:left="4320" w:hanging="360"/>
      </w:pPr>
      <w:rPr>
        <w:rFonts w:ascii="Symbol" w:hAnsi="Symbol"/>
      </w:rPr>
    </w:lvl>
    <w:lvl w:ilvl="6" w:tplc="3BAA893C">
      <w:start w:val="1"/>
      <w:numFmt w:val="bullet"/>
      <w:lvlText w:val="·"/>
      <w:lvlJc w:val="left"/>
      <w:pPr>
        <w:ind w:left="5040" w:hanging="360"/>
      </w:pPr>
      <w:rPr>
        <w:rFonts w:ascii="Symbol" w:hAnsi="Symbol"/>
      </w:rPr>
    </w:lvl>
    <w:lvl w:ilvl="7" w:tplc="3A32AF66">
      <w:start w:val="1"/>
      <w:numFmt w:val="bullet"/>
      <w:lvlText w:val="o"/>
      <w:lvlJc w:val="left"/>
      <w:pPr>
        <w:ind w:left="5760" w:hanging="360"/>
      </w:pPr>
      <w:rPr>
        <w:rFonts w:ascii="Symbol" w:hAnsi="Symbol"/>
      </w:rPr>
    </w:lvl>
    <w:lvl w:ilvl="8" w:tplc="6D497084">
      <w:start w:val="1"/>
      <w:numFmt w:val="bullet"/>
      <w:lvlText w:val="·"/>
      <w:lvlJc w:val="left"/>
      <w:pPr>
        <w:ind w:left="6480" w:hanging="360"/>
      </w:pPr>
      <w:rPr>
        <w:rFonts w:ascii="Symbol" w:hAnsi="Symbol"/>
      </w:rPr>
    </w:lvl>
  </w:abstractNum>
  <w:abstractNum w:abstractNumId="3">
    <w:nsid w:val="5C35458B"/>
    <w:multiLevelType w:val="hybridMultilevel"/>
    <w:tmpl w:val="87AC7A00"/>
    <w:lvl w:ilvl="0" w:tplc="70AF1375">
      <w:numFmt w:val="bullet"/>
      <w:lvlText w:val="·"/>
      <w:lvlJc w:val="left"/>
      <w:rPr>
        <w:rFonts w:ascii="Symbol" w:eastAsia="Symbol" w:hAnsi="Symbol" w:cs="Symbol"/>
      </w:rPr>
    </w:lvl>
    <w:lvl w:ilvl="1" w:tplc="1D574986">
      <w:start w:val="1"/>
      <w:numFmt w:val="bullet"/>
      <w:lvlText w:val="o"/>
      <w:lvlJc w:val="left"/>
      <w:pPr>
        <w:ind w:left="1440" w:hanging="360"/>
      </w:pPr>
      <w:rPr>
        <w:rFonts w:ascii="Symbol" w:hAnsi="Symbol"/>
      </w:rPr>
    </w:lvl>
    <w:lvl w:ilvl="2" w:tplc="44FCB763">
      <w:start w:val="1"/>
      <w:numFmt w:val="bullet"/>
      <w:lvlText w:val="·"/>
      <w:lvlJc w:val="left"/>
      <w:pPr>
        <w:ind w:left="2160" w:hanging="360"/>
      </w:pPr>
      <w:rPr>
        <w:rFonts w:ascii="Symbol" w:hAnsi="Symbol"/>
      </w:rPr>
    </w:lvl>
    <w:lvl w:ilvl="3" w:tplc="7295E23D">
      <w:start w:val="1"/>
      <w:numFmt w:val="bullet"/>
      <w:lvlText w:val="o"/>
      <w:lvlJc w:val="left"/>
      <w:pPr>
        <w:ind w:left="2880" w:hanging="360"/>
      </w:pPr>
      <w:rPr>
        <w:rFonts w:ascii="Symbol" w:hAnsi="Symbol"/>
      </w:rPr>
    </w:lvl>
    <w:lvl w:ilvl="4" w:tplc="636418E6">
      <w:start w:val="1"/>
      <w:numFmt w:val="bullet"/>
      <w:lvlText w:val="·"/>
      <w:lvlJc w:val="left"/>
      <w:pPr>
        <w:ind w:left="3600" w:hanging="360"/>
      </w:pPr>
      <w:rPr>
        <w:rFonts w:ascii="Symbol" w:hAnsi="Symbol"/>
      </w:rPr>
    </w:lvl>
    <w:lvl w:ilvl="5" w:tplc="041E78EA">
      <w:start w:val="1"/>
      <w:numFmt w:val="bullet"/>
      <w:lvlText w:val="o"/>
      <w:lvlJc w:val="left"/>
      <w:pPr>
        <w:ind w:left="4320" w:hanging="360"/>
      </w:pPr>
      <w:rPr>
        <w:rFonts w:ascii="Symbol" w:hAnsi="Symbol"/>
      </w:rPr>
    </w:lvl>
    <w:lvl w:ilvl="6" w:tplc="0F6B9ECF">
      <w:start w:val="1"/>
      <w:numFmt w:val="bullet"/>
      <w:lvlText w:val="·"/>
      <w:lvlJc w:val="left"/>
      <w:pPr>
        <w:ind w:left="5040" w:hanging="360"/>
      </w:pPr>
      <w:rPr>
        <w:rFonts w:ascii="Symbol" w:hAnsi="Symbol"/>
      </w:rPr>
    </w:lvl>
    <w:lvl w:ilvl="7" w:tplc="15ED2D2B">
      <w:start w:val="1"/>
      <w:numFmt w:val="bullet"/>
      <w:lvlText w:val="o"/>
      <w:lvlJc w:val="left"/>
      <w:pPr>
        <w:ind w:left="5760" w:hanging="360"/>
      </w:pPr>
      <w:rPr>
        <w:rFonts w:ascii="Symbol" w:hAnsi="Symbol"/>
      </w:rPr>
    </w:lvl>
    <w:lvl w:ilvl="8" w:tplc="7E77F19D">
      <w:start w:val="1"/>
      <w:numFmt w:val="bullet"/>
      <w:lvlText w:val="·"/>
      <w:lvlJc w:val="left"/>
      <w:pPr>
        <w:ind w:left="6480" w:hanging="360"/>
      </w:pPr>
      <w:rPr>
        <w:rFonts w:ascii="Symbol" w:hAnsi="Symbol"/>
      </w:rPr>
    </w:lvl>
  </w:abstractNum>
  <w:abstractNum w:abstractNumId="4">
    <w:nsid w:val="60A8A878"/>
    <w:multiLevelType w:val="hybridMultilevel"/>
    <w:tmpl w:val="DBC8393A"/>
    <w:lvl w:ilvl="0" w:tplc="389858C7">
      <w:start w:val="1"/>
      <w:numFmt w:val="bullet"/>
      <w:lvlText w:val="·"/>
      <w:lvlJc w:val="left"/>
      <w:pPr>
        <w:ind w:left="720" w:hanging="360"/>
      </w:pPr>
      <w:rPr>
        <w:rFonts w:ascii="Symbol" w:eastAsia="Symbol" w:hAnsi="Symbol" w:cs="Symbol"/>
      </w:rPr>
    </w:lvl>
    <w:lvl w:ilvl="1" w:tplc="70F123A0">
      <w:start w:val="1"/>
      <w:numFmt w:val="bullet"/>
      <w:lvlText w:val="o"/>
      <w:lvlJc w:val="left"/>
      <w:pPr>
        <w:ind w:left="1440" w:hanging="360"/>
      </w:pPr>
      <w:rPr>
        <w:rFonts w:ascii="Symbol" w:hAnsi="Symbol"/>
      </w:rPr>
    </w:lvl>
    <w:lvl w:ilvl="2" w:tplc="41EB8B09">
      <w:start w:val="1"/>
      <w:numFmt w:val="bullet"/>
      <w:lvlText w:val="·"/>
      <w:lvlJc w:val="left"/>
      <w:pPr>
        <w:ind w:left="2160" w:hanging="360"/>
      </w:pPr>
      <w:rPr>
        <w:rFonts w:ascii="Symbol" w:hAnsi="Symbol"/>
      </w:rPr>
    </w:lvl>
    <w:lvl w:ilvl="3" w:tplc="4DF93408">
      <w:start w:val="1"/>
      <w:numFmt w:val="bullet"/>
      <w:lvlText w:val="o"/>
      <w:lvlJc w:val="left"/>
      <w:pPr>
        <w:ind w:left="2880" w:hanging="360"/>
      </w:pPr>
      <w:rPr>
        <w:rFonts w:ascii="Symbol" w:hAnsi="Symbol"/>
      </w:rPr>
    </w:lvl>
    <w:lvl w:ilvl="4" w:tplc="4AF0641A">
      <w:start w:val="1"/>
      <w:numFmt w:val="bullet"/>
      <w:lvlText w:val="·"/>
      <w:lvlJc w:val="left"/>
      <w:pPr>
        <w:ind w:left="3600" w:hanging="360"/>
      </w:pPr>
      <w:rPr>
        <w:rFonts w:ascii="Symbol" w:hAnsi="Symbol"/>
      </w:rPr>
    </w:lvl>
    <w:lvl w:ilvl="5" w:tplc="75402C0E">
      <w:start w:val="1"/>
      <w:numFmt w:val="bullet"/>
      <w:lvlText w:val="o"/>
      <w:lvlJc w:val="left"/>
      <w:pPr>
        <w:ind w:left="4320" w:hanging="360"/>
      </w:pPr>
      <w:rPr>
        <w:rFonts w:ascii="Symbol" w:hAnsi="Symbol"/>
      </w:rPr>
    </w:lvl>
    <w:lvl w:ilvl="6" w:tplc="3E231694">
      <w:start w:val="1"/>
      <w:numFmt w:val="bullet"/>
      <w:lvlText w:val="·"/>
      <w:lvlJc w:val="left"/>
      <w:pPr>
        <w:ind w:left="5040" w:hanging="360"/>
      </w:pPr>
      <w:rPr>
        <w:rFonts w:ascii="Symbol" w:hAnsi="Symbol"/>
      </w:rPr>
    </w:lvl>
    <w:lvl w:ilvl="7" w:tplc="7EBF1B0B">
      <w:start w:val="1"/>
      <w:numFmt w:val="bullet"/>
      <w:lvlText w:val="o"/>
      <w:lvlJc w:val="left"/>
      <w:pPr>
        <w:ind w:left="5760" w:hanging="360"/>
      </w:pPr>
      <w:rPr>
        <w:rFonts w:ascii="Symbol" w:hAnsi="Symbol"/>
      </w:rPr>
    </w:lvl>
    <w:lvl w:ilvl="8" w:tplc="1CA646D2">
      <w:start w:val="1"/>
      <w:numFmt w:val="bullet"/>
      <w:lvlText w:val="·"/>
      <w:lvlJc w:val="left"/>
      <w:pPr>
        <w:ind w:left="6480" w:hanging="360"/>
      </w:pPr>
      <w:rPr>
        <w:rFonts w:ascii="Symbol" w:hAnsi="Symbol"/>
      </w:rPr>
    </w:lvl>
  </w:abstractNum>
  <w:abstractNum w:abstractNumId="5">
    <w:nsid w:val="6C5245C8"/>
    <w:multiLevelType w:val="hybridMultilevel"/>
    <w:tmpl w:val="10ACD480"/>
    <w:lvl w:ilvl="0" w:tplc="0D230259">
      <w:start w:val="1"/>
      <w:numFmt w:val="bullet"/>
      <w:lvlText w:val="·"/>
      <w:lvlJc w:val="left"/>
      <w:pPr>
        <w:ind w:left="720" w:hanging="360"/>
      </w:pPr>
      <w:rPr>
        <w:rFonts w:ascii="Symbol" w:eastAsia="Symbol" w:hAnsi="Symbol" w:cs="Symbol"/>
      </w:rPr>
    </w:lvl>
    <w:lvl w:ilvl="1" w:tplc="734BA191">
      <w:start w:val="1"/>
      <w:numFmt w:val="bullet"/>
      <w:lvlText w:val="o"/>
      <w:lvlJc w:val="left"/>
      <w:pPr>
        <w:ind w:left="1440" w:hanging="360"/>
      </w:pPr>
      <w:rPr>
        <w:rFonts w:ascii="Symbol" w:hAnsi="Symbol"/>
      </w:rPr>
    </w:lvl>
    <w:lvl w:ilvl="2" w:tplc="50B7F40B">
      <w:start w:val="1"/>
      <w:numFmt w:val="bullet"/>
      <w:lvlText w:val="·"/>
      <w:lvlJc w:val="left"/>
      <w:pPr>
        <w:ind w:left="2160" w:hanging="360"/>
      </w:pPr>
      <w:rPr>
        <w:rFonts w:ascii="Symbol" w:hAnsi="Symbol"/>
      </w:rPr>
    </w:lvl>
    <w:lvl w:ilvl="3" w:tplc="227EA004">
      <w:start w:val="1"/>
      <w:numFmt w:val="bullet"/>
      <w:lvlText w:val="o"/>
      <w:lvlJc w:val="left"/>
      <w:pPr>
        <w:ind w:left="2880" w:hanging="360"/>
      </w:pPr>
      <w:rPr>
        <w:rFonts w:ascii="Symbol" w:hAnsi="Symbol"/>
      </w:rPr>
    </w:lvl>
    <w:lvl w:ilvl="4" w:tplc="4403E2B7">
      <w:start w:val="1"/>
      <w:numFmt w:val="bullet"/>
      <w:lvlText w:val="·"/>
      <w:lvlJc w:val="left"/>
      <w:pPr>
        <w:ind w:left="3600" w:hanging="360"/>
      </w:pPr>
      <w:rPr>
        <w:rFonts w:ascii="Symbol" w:hAnsi="Symbol"/>
      </w:rPr>
    </w:lvl>
    <w:lvl w:ilvl="5" w:tplc="03A06548">
      <w:start w:val="1"/>
      <w:numFmt w:val="bullet"/>
      <w:lvlText w:val="o"/>
      <w:lvlJc w:val="left"/>
      <w:pPr>
        <w:ind w:left="4320" w:hanging="360"/>
      </w:pPr>
      <w:rPr>
        <w:rFonts w:ascii="Symbol" w:hAnsi="Symbol"/>
      </w:rPr>
    </w:lvl>
    <w:lvl w:ilvl="6" w:tplc="5C876B8E">
      <w:start w:val="1"/>
      <w:numFmt w:val="bullet"/>
      <w:lvlText w:val="·"/>
      <w:lvlJc w:val="left"/>
      <w:pPr>
        <w:ind w:left="5040" w:hanging="360"/>
      </w:pPr>
      <w:rPr>
        <w:rFonts w:ascii="Symbol" w:hAnsi="Symbol"/>
      </w:rPr>
    </w:lvl>
    <w:lvl w:ilvl="7" w:tplc="73B74D5C">
      <w:start w:val="1"/>
      <w:numFmt w:val="bullet"/>
      <w:lvlText w:val="o"/>
      <w:lvlJc w:val="left"/>
      <w:pPr>
        <w:ind w:left="5760" w:hanging="360"/>
      </w:pPr>
      <w:rPr>
        <w:rFonts w:ascii="Symbol" w:hAnsi="Symbol"/>
      </w:rPr>
    </w:lvl>
    <w:lvl w:ilvl="8" w:tplc="6594832E">
      <w:start w:val="1"/>
      <w:numFmt w:val="bullet"/>
      <w:lvlText w:val="·"/>
      <w:lvlJc w:val="left"/>
      <w:pPr>
        <w:ind w:left="6480" w:hanging="360"/>
      </w:pPr>
      <w:rPr>
        <w:rFonts w:ascii="Symbol" w:hAnsi="Symbol"/>
      </w:rPr>
    </w:lvl>
  </w:abstractNum>
  <w:abstractNum w:abstractNumId="6">
    <w:nsid w:val="701F32CC"/>
    <w:multiLevelType w:val="hybridMultilevel"/>
    <w:tmpl w:val="7772AA5E"/>
    <w:lvl w:ilvl="0" w:tplc="0FC71F05">
      <w:start w:val="1"/>
      <w:numFmt w:val="bullet"/>
      <w:lvlText w:val="·"/>
      <w:lvlJc w:val="left"/>
      <w:pPr>
        <w:ind w:left="720" w:hanging="360"/>
      </w:pPr>
      <w:rPr>
        <w:rFonts w:ascii="Symbol" w:eastAsia="Symbol" w:hAnsi="Symbol" w:cs="Symbol"/>
      </w:rPr>
    </w:lvl>
    <w:lvl w:ilvl="1" w:tplc="6CF60715">
      <w:start w:val="1"/>
      <w:numFmt w:val="bullet"/>
      <w:lvlText w:val="o"/>
      <w:lvlJc w:val="left"/>
      <w:pPr>
        <w:ind w:left="1440" w:hanging="360"/>
      </w:pPr>
      <w:rPr>
        <w:rFonts w:ascii="Symbol" w:hAnsi="Symbol"/>
      </w:rPr>
    </w:lvl>
    <w:lvl w:ilvl="2" w:tplc="760BF75E">
      <w:start w:val="1"/>
      <w:numFmt w:val="bullet"/>
      <w:lvlText w:val="·"/>
      <w:lvlJc w:val="left"/>
      <w:pPr>
        <w:ind w:left="2160" w:hanging="360"/>
      </w:pPr>
      <w:rPr>
        <w:rFonts w:ascii="Symbol" w:hAnsi="Symbol"/>
      </w:rPr>
    </w:lvl>
    <w:lvl w:ilvl="3" w:tplc="6E55E62C">
      <w:start w:val="1"/>
      <w:numFmt w:val="bullet"/>
      <w:lvlText w:val="o"/>
      <w:lvlJc w:val="left"/>
      <w:pPr>
        <w:ind w:left="2880" w:hanging="360"/>
      </w:pPr>
      <w:rPr>
        <w:rFonts w:ascii="Symbol" w:hAnsi="Symbol"/>
      </w:rPr>
    </w:lvl>
    <w:lvl w:ilvl="4" w:tplc="7187AEB6">
      <w:start w:val="1"/>
      <w:numFmt w:val="bullet"/>
      <w:lvlText w:val="·"/>
      <w:lvlJc w:val="left"/>
      <w:pPr>
        <w:ind w:left="3600" w:hanging="360"/>
      </w:pPr>
      <w:rPr>
        <w:rFonts w:ascii="Symbol" w:hAnsi="Symbol"/>
      </w:rPr>
    </w:lvl>
    <w:lvl w:ilvl="5" w:tplc="0CE1D376">
      <w:start w:val="1"/>
      <w:numFmt w:val="bullet"/>
      <w:lvlText w:val="o"/>
      <w:lvlJc w:val="left"/>
      <w:pPr>
        <w:ind w:left="4320" w:hanging="360"/>
      </w:pPr>
      <w:rPr>
        <w:rFonts w:ascii="Symbol" w:hAnsi="Symbol"/>
      </w:rPr>
    </w:lvl>
    <w:lvl w:ilvl="6" w:tplc="25769205">
      <w:start w:val="1"/>
      <w:numFmt w:val="bullet"/>
      <w:lvlText w:val="·"/>
      <w:lvlJc w:val="left"/>
      <w:pPr>
        <w:ind w:left="5040" w:hanging="360"/>
      </w:pPr>
      <w:rPr>
        <w:rFonts w:ascii="Symbol" w:hAnsi="Symbol"/>
      </w:rPr>
    </w:lvl>
    <w:lvl w:ilvl="7" w:tplc="2F293A63">
      <w:start w:val="1"/>
      <w:numFmt w:val="bullet"/>
      <w:lvlText w:val="o"/>
      <w:lvlJc w:val="left"/>
      <w:pPr>
        <w:ind w:left="5760" w:hanging="360"/>
      </w:pPr>
      <w:rPr>
        <w:rFonts w:ascii="Symbol" w:hAnsi="Symbol"/>
      </w:rPr>
    </w:lvl>
    <w:lvl w:ilvl="8" w:tplc="081AD52B">
      <w:start w:val="1"/>
      <w:numFmt w:val="bullet"/>
      <w:lvlText w:val="·"/>
      <w:lvlJc w:val="left"/>
      <w:pPr>
        <w:ind w:left="6480" w:hanging="360"/>
      </w:pPr>
      <w:rPr>
        <w:rFonts w:ascii="Symbol" w:hAnsi="Symbol"/>
      </w:rPr>
    </w:lvl>
  </w:abstractNum>
  <w:num w:numId="1">
    <w:abstractNumId w:val="3"/>
  </w:num>
  <w:num w:numId="2">
    <w:abstractNumId w:val="0"/>
  </w:num>
  <w:num w:numId="3">
    <w:abstractNumId w:val="4"/>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77"/>
    <w:rsid w:val="003F0D4E"/>
    <w:rsid w:val="00536A77"/>
    <w:rsid w:val="00BE7BEC"/>
    <w:rsid w:val="00DE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F0D4E"/>
    <w:rPr>
      <w:rFonts w:ascii="Tahoma" w:hAnsi="Tahoma" w:cs="Tahoma"/>
      <w:sz w:val="16"/>
      <w:szCs w:val="16"/>
    </w:rPr>
  </w:style>
  <w:style w:type="character" w:customStyle="1" w:styleId="a6">
    <w:name w:val="Текст выноски Знак"/>
    <w:basedOn w:val="a0"/>
    <w:link w:val="a5"/>
    <w:uiPriority w:val="99"/>
    <w:semiHidden/>
    <w:rsid w:val="003F0D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3F0D4E"/>
    <w:rPr>
      <w:rFonts w:ascii="Tahoma" w:hAnsi="Tahoma" w:cs="Tahoma"/>
      <w:sz w:val="16"/>
      <w:szCs w:val="16"/>
    </w:rPr>
  </w:style>
  <w:style w:type="character" w:customStyle="1" w:styleId="a6">
    <w:name w:val="Текст выноски Знак"/>
    <w:basedOn w:val="a0"/>
    <w:link w:val="a5"/>
    <w:uiPriority w:val="99"/>
    <w:semiHidden/>
    <w:rsid w:val="003F0D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ref=AF56805DFA723DD78498392CE37EC49E51195A8E9C38018074C657CF043652E120B76211947911C1F595363A66D4A4F09E6C9D22F0EA3C95E9n8E" TargetMode="External"/><Relationship Id="rId13" Type="http://schemas.openxmlformats.org/officeDocument/2006/relationships/hyperlink" Target="consultantplus://offline/ref=B4FF4731D1F6A7662AFB9A5BBDAABDA70C3959DF9DBA16B97A0D05EF9DEA0FE18F99E01653EA9A1DD789D5C380E521920D7ACECCDBB79516D0Z1I" TargetMode="External"/><Relationship Id="rId18" Type="http://schemas.openxmlformats.org/officeDocument/2006/relationships/hyperlink" Target="consultantplus://offline/ref=3D16CC1F7E236E494EFD8CA17EC97B9EFF8070BA21DCC8A18C18B17337CAEEED701C69104D5175D93632FD26F28E9474F5E92A0CBB5142F7n4b0A" TargetMode="External"/><Relationship Id="rId26" Type="http://schemas.openxmlformats.org/officeDocument/2006/relationships/hyperlink" Target="consultantplus://offline/ref=F501D909B89CB4E1F2282E0EB2C7E369CB8776F8F93C41F03AA75726B9D281FE29C42F820C648C10x971N" TargetMode="External"/><Relationship Id="rId39"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consultantplus://offline/ref=6F84438E267D60A5DB5AFEFB04143CD11E60E9FC96B6EB73F3AA708400ED6E78CE4129F6A84A50CC371D009F106C24B8629ED6A0DF642A4EF3e0A" TargetMode="External"/><Relationship Id="rId34" Type="http://schemas.openxmlformats.org/officeDocument/2006/relationships/hyperlink" Target="consultantplus://offline/ref=73EA16C3B243CB49FCD2531AC85A6C3F4093B5E4E3D7DFA54BF575ACBD4DC5EE6E2782E49F927724D0E512C945CB698F1A25842C3F450E702Fk8A" TargetMode="External"/><Relationship Id="rId42" Type="http://schemas.openxmlformats.org/officeDocument/2006/relationships/fontTable" Target="fontTable.xml"/><Relationship Id="rId7" Type="http://schemas.openxmlformats.org/officeDocument/2006/relationships/hyperlink" Target="consultantplus://offline/ref=407DEAC7E82414E6EC1C92FAD9AC069C94731BF4F876612E7D0D8E1502P0F8L" TargetMode="External"/><Relationship Id="rId12" Type="http://schemas.openxmlformats.org/officeDocument/2006/relationships/hyperlink" Target="consultantplus://offline/ref=B4FF4731D1F6A7662AFB9A5BBDAABDA70C3A5BDF93BE16B97A0D05EF9DEA0FE18F99E01653EA9A1DD689D5C380E521920D7ACECCDBB79516D0Z1I" TargetMode="External"/><Relationship Id="rId17" Type="http://schemas.openxmlformats.org/officeDocument/2006/relationships/hyperlink" Target="consultantplus://offline/ref=3D16CC1F7E236E494EFD8CA17EC97B9EFF817FBF21DBC8A18C18B17337CAEEED701C69104D5175D93632FD26F28E9474F5E92A0CBB5142F7n4b0A" TargetMode="External"/><Relationship Id="rId25" Type="http://schemas.openxmlformats.org/officeDocument/2006/relationships/hyperlink" Target="consultantplus://offline/ref=6F84438E267D60A5DB5AFEFB04143CD11E63E9F098B4EB73F3AA708400ED6E78CE4129F6A84A50CC371D009F106C24B8629ED6A0DF642A4EF3e0A" TargetMode="External"/><Relationship Id="rId33" Type="http://schemas.openxmlformats.org/officeDocument/2006/relationships/hyperlink" Target="consultantplus://offline/ref=73EA16C3B243CB49FCD2531AC85A6C3F4092BFE6E4D1DFA54BF575ACBD4DC5EE6E2782E49F927724D0E512C945CB698F1A25842C3F450E702Fk8A" TargetMode="External"/><Relationship Id="rId38"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3D16CC1F7E236E494EFD8CA17EC97B9EFF8172BC2DD6C8A18C18B17337CAEEED701C69104D5175D93632FD26F28E9474F5E92A0CBB5142F7n4b0A" TargetMode="External"/><Relationship Id="rId20" Type="http://schemas.openxmlformats.org/officeDocument/2006/relationships/hyperlink" Target="consultantplus://offline/ref=6F84438E267D60A5DB5AFEFB04143CD11E66E3F19FB8EB73F3AA708400ED6E78CE4129F6A84A50CC371D009F106C24B8629ED6A0DF642A4EF3e0A" TargetMode="External"/><Relationship Id="rId29" Type="http://schemas.openxmlformats.org/officeDocument/2006/relationships/hyperlink" Target="consultantplus://offline/ref=D57174B2DA5BEDDE8E96997170A30B44160C93BCB105C04BFABDA0DF01B381B777BD7D032C6A52EF84178AADBF6657AA6690DF5E2A4A9B80J1KDI" TargetMode="External"/><Relationship Id="rId4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consultantplus://offline/ref=7317119786BA67BC20779A08AB439F42D634701B5765E26A4694CB0124g3S2L" TargetMode="External"/><Relationship Id="rId11" Type="http://schemas.openxmlformats.org/officeDocument/2006/relationships/hyperlink" Target="consultantplus://offline/ref=545F0310BD29815A5DC5364250B845E40DC22561CD549E1AA739ABB3E324029862E604BCBCBD1A45z7O" TargetMode="External"/><Relationship Id="rId24" Type="http://schemas.openxmlformats.org/officeDocument/2006/relationships/hyperlink" Target="consultantplus://offline/ref=6F84438E267D60A5DB5AFEFB04143CD11E62E3FD96B4EB73F3AA708400ED6E78CE4129F6A84A50CC371D009F106C24B8629ED6A0DF642A4EF3e0A" TargetMode="External"/><Relationship Id="rId32" Type="http://schemas.openxmlformats.org/officeDocument/2006/relationships/hyperlink" Target="consultantplus://offline/ref=73EA16C3B243CB49FCD2531AC85A6C3F4092B2E3E7DEDFA54BF575ACBD4DC5EE6E2782E49F927724D0E512C945CB698F1A25842C3F450E702Fk8A" TargetMode="External"/><Relationship Id="rId37" Type="http://schemas.openxmlformats.org/officeDocument/2006/relationships/hyperlink" Target="consultantplus://offline/ref=1B8F9FF8EA2798D61DA5B9B6C8A998C1CB7D2ED882A7F3EE7AF8B4FE2BC777AEA821023A3FF908DFw1WEL" TargetMode="External"/><Relationship Id="rId4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consultantplus://offline/ref=9BB2233CAF0584D5BE1F58EC6A7FE99B1902ACF5A010CB4ADC73E5AE254B863650CBAC521FF6F207AD48DFEB435FD60998AF0172C8710FEBMDz5H" TargetMode="External"/><Relationship Id="rId23" Type="http://schemas.openxmlformats.org/officeDocument/2006/relationships/hyperlink" Target="consultantplus://offline/ref=6F84438E267D60A5DB5AFEFB04143CD11E61ECFE99B9EB73F3AA708400ED6E78CE4129F6A84A50CC371D009F106C24B8629ED6A0DF642A4EF3e0A" TargetMode="External"/><Relationship Id="rId28" Type="http://schemas.openxmlformats.org/officeDocument/2006/relationships/hyperlink" Target="consultantplus://offline/ref=D57174B2DA5BEDDE8E96997170A30B44160C9EB5BD0AC04BFABDA0DF01B381B777BD7D032C6A52EF86178AADBF6657AA6690DF5E2A4A9B80J1KDI" TargetMode="External"/><Relationship Id="rId36" Type="http://schemas.openxmlformats.org/officeDocument/2006/relationships/hyperlink" Target="consultantplus://offline/ref=DC4A2B5411D5D7E25E29428D78A80B74032BF2096BABFB4A944099011EA53FE769F9A975827C12DC16A5FD747A3326EC3EE8893B21B1A54Be2L4F" TargetMode="External"/><Relationship Id="rId10" Type="http://schemas.openxmlformats.org/officeDocument/2006/relationships/hyperlink" Target="consultantplus://offline/ref=AF56805DFA723DD78498392CE37EC49E51165D8C9834018074C657CF043652E120B76211947910C1FF95363A66D4A4F09E6C9D22F0EA3C95E9n8E" TargetMode="External"/><Relationship Id="rId19" Type="http://schemas.openxmlformats.org/officeDocument/2006/relationships/hyperlink" Target="consultantplus://offline/ref=3D16CC1F7E236E494EFD8CA17EC97B9EFF8277BB2ADDC8A18C18B17337CAEEED701C69104D5175D93632FD26F28E9474F5E92A0CBB5142F7n4b0A" TargetMode="External"/><Relationship Id="rId31" Type="http://schemas.openxmlformats.org/officeDocument/2006/relationships/hyperlink" Target="consultantplus://offline/ref=73EA16C3B243CB49FCD2531AC85A6C3F4091B3E4EED0DFA54BF575ACBD4DC5EE6E2782E49F927724D0E512C945CB698F1A25842C3F450E702Fk8A" TargetMode="External"/><Relationship Id="rId4" Type="http://schemas.openxmlformats.org/officeDocument/2006/relationships/settings" Target="settings.xml"/><Relationship Id="rId9" Type="http://schemas.openxmlformats.org/officeDocument/2006/relationships/hyperlink" Target="consultantplus://offline/ref=AF56805DFA723DD78498392CE37EC49E51145E8E9D34018074C657CF043652E120B76211947911C3F995363A66D4A4F09E6C9D22F0EA3C95E9n8E" TargetMode="External"/><Relationship Id="rId14" Type="http://schemas.openxmlformats.org/officeDocument/2006/relationships/hyperlink" Target="consultantplus://offline/ref=9BB2233CAF0584D5BE1F58EC6A7FE99B1903ACF1A717CB4ADC73E5AE254B863650CBAC521FF6F206AF48DFEB435FD60998AF0172C8710FEBMDz5H" TargetMode="External"/><Relationship Id="rId22" Type="http://schemas.openxmlformats.org/officeDocument/2006/relationships/hyperlink" Target="consultantplus://offline/ref=6F84438E267D60A5DB5AFEFB04143CD11E60EEF09AB1EB73F3AA708400ED6E78CE4129F6A84A50CC371D009F106C24B8629ED6A0DF642A4EF3e0A" TargetMode="External"/><Relationship Id="rId27" Type="http://schemas.openxmlformats.org/officeDocument/2006/relationships/hyperlink" Target="consultantplus://offline/ref=F501D909B89CB4E1F2282E0EB2C7E369C88373F8F73C41F03AA75726B9D281FE29C42F820C648C1Fx974N" TargetMode="External"/><Relationship Id="rId30" Type="http://schemas.openxmlformats.org/officeDocument/2006/relationships/hyperlink" Target="consultantplus://offline/ref=73EA16C3B243CB49FCD2531AC85A6C3F4090B1E5EFDFDFA54BF575ACBD4DC5EE6E2782E49F927724D0E512C945CB698F1A25842C3F450E702Fk8A" TargetMode="External"/><Relationship Id="rId35" Type="http://schemas.openxmlformats.org/officeDocument/2006/relationships/hyperlink" Target="consultantplus://offline/ref=C96BF7BF86A10E759663938D1EDC41F70A25F7474997F88541D9A32E5466B839261F56B2140AC8B3h5qDH"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7EAADF"/>
      </a:accent1>
      <a:accent2>
        <a:srgbClr val="EA726F"/>
      </a:accent2>
      <a:accent3>
        <a:srgbClr val="A9D774"/>
      </a:accent3>
      <a:accent4>
        <a:srgbClr val="A78BC9"/>
      </a:accent4>
      <a:accent5>
        <a:srgbClr val="78CBE1"/>
      </a:accent5>
      <a:accent6>
        <a:srgbClr val="FCBF8C"/>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9599</Words>
  <Characters>54720</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1q</dc:creator>
  <cp:lastModifiedBy>1q</cp:lastModifiedBy>
  <cp:revision>2</cp:revision>
  <dcterms:created xsi:type="dcterms:W3CDTF">2024-09-12T05:38:00Z</dcterms:created>
  <dcterms:modified xsi:type="dcterms:W3CDTF">2024-09-12T05:38:00Z</dcterms:modified>
</cp:coreProperties>
</file>